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00"/>
          <w:spacing w:val="7"/>
          <w:kern w:val="0"/>
          <w:sz w:val="52"/>
          <w:szCs w:val="52"/>
        </w:rPr>
      </w:pPr>
      <w:bookmarkStart w:id="145" w:name="_GoBack"/>
      <w:bookmarkEnd w:id="145"/>
      <w:r>
        <w:rPr>
          <w:rFonts w:eastAsia="黑体"/>
          <w:b/>
          <w:color w:val="000000"/>
          <w:spacing w:val="7"/>
          <w:kern w:val="0"/>
          <w:sz w:val="52"/>
          <w:szCs w:val="52"/>
        </w:rPr>
        <w:t>China Monetary Policy Report</w:t>
      </w:r>
    </w:p>
    <w:p>
      <w:pPr>
        <w:spacing w:line="360" w:lineRule="auto"/>
        <w:jc w:val="center"/>
        <w:rPr>
          <w:rFonts w:eastAsia="黑体"/>
          <w:b/>
          <w:color w:val="000000"/>
          <w:sz w:val="52"/>
          <w:szCs w:val="52"/>
        </w:rPr>
      </w:pPr>
      <w:r>
        <w:rPr>
          <w:rFonts w:eastAsia="黑体"/>
          <w:b/>
          <w:color w:val="000000"/>
          <w:spacing w:val="7"/>
          <w:kern w:val="0"/>
          <w:sz w:val="52"/>
          <w:szCs w:val="52"/>
        </w:rPr>
        <w:t xml:space="preserve">Quarter </w:t>
      </w:r>
      <w:r>
        <w:rPr>
          <w:rFonts w:hint="eastAsia"/>
          <w:b/>
          <w:color w:val="000000"/>
          <w:spacing w:val="7"/>
          <w:kern w:val="0"/>
          <w:sz w:val="52"/>
          <w:szCs w:val="52"/>
        </w:rPr>
        <w:t>One</w:t>
      </w:r>
      <w:r>
        <w:rPr>
          <w:rFonts w:eastAsia="黑体"/>
          <w:b/>
          <w:color w:val="000000"/>
          <w:spacing w:val="7"/>
          <w:kern w:val="0"/>
          <w:sz w:val="52"/>
          <w:szCs w:val="52"/>
        </w:rPr>
        <w:t>, 201</w:t>
      </w:r>
      <w:r>
        <w:rPr>
          <w:rFonts w:hint="eastAsia" w:eastAsia="黑体"/>
          <w:b/>
          <w:color w:val="000000"/>
          <w:spacing w:val="7"/>
          <w:kern w:val="0"/>
          <w:sz w:val="52"/>
          <w:szCs w:val="52"/>
        </w:rPr>
        <w:t>8</w:t>
      </w:r>
    </w:p>
    <w:p>
      <w:pPr>
        <w:spacing w:line="360" w:lineRule="auto"/>
        <w:jc w:val="center"/>
        <w:rPr>
          <w:rFonts w:eastAsia="楷体_GB2312"/>
          <w:color w:val="000000"/>
          <w:sz w:val="32"/>
          <w:szCs w:val="32"/>
        </w:rPr>
      </w:pPr>
      <w:r>
        <w:rPr>
          <w:rFonts w:eastAsia="楷体_GB2312"/>
          <w:color w:val="000000"/>
          <w:sz w:val="32"/>
          <w:szCs w:val="32"/>
        </w:rPr>
        <w:t>(</w:t>
      </w:r>
      <w:r>
        <w:rPr>
          <w:rFonts w:hint="eastAsia"/>
          <w:color w:val="000000"/>
          <w:sz w:val="32"/>
          <w:szCs w:val="32"/>
        </w:rPr>
        <w:t>May 11</w:t>
      </w:r>
      <w:r>
        <w:rPr>
          <w:rFonts w:eastAsia="楷体_GB2312"/>
          <w:color w:val="000000"/>
          <w:sz w:val="32"/>
          <w:szCs w:val="32"/>
        </w:rPr>
        <w:t>, 201</w:t>
      </w:r>
      <w:r>
        <w:rPr>
          <w:rFonts w:hint="eastAsia" w:eastAsia="楷体_GB2312"/>
          <w:color w:val="000000"/>
          <w:sz w:val="32"/>
          <w:szCs w:val="32"/>
        </w:rPr>
        <w:t>8</w:t>
      </w:r>
      <w:r>
        <w:rPr>
          <w:rFonts w:eastAsia="楷体_GB2312"/>
          <w:color w:val="000000"/>
          <w:sz w:val="32"/>
          <w:szCs w:val="32"/>
        </w:rPr>
        <w:t>)</w:t>
      </w:r>
    </w:p>
    <w:p>
      <w:pPr>
        <w:spacing w:line="360" w:lineRule="auto"/>
        <w:jc w:val="center"/>
        <w:rPr>
          <w:rFonts w:eastAsia="楷体_GB2312"/>
          <w:b/>
          <w:color w:val="000000"/>
          <w:sz w:val="44"/>
        </w:rPr>
      </w:pPr>
    </w:p>
    <w:p>
      <w:pPr>
        <w:spacing w:line="360" w:lineRule="auto"/>
        <w:jc w:val="center"/>
        <w:rPr>
          <w:rFonts w:eastAsia="楷体_GB2312"/>
          <w:b/>
          <w:color w:val="000000"/>
          <w:sz w:val="44"/>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ascii="仿宋_GB2312" w:eastAsia="仿宋_GB2312"/>
          <w:color w:val="000000"/>
          <w:sz w:val="28"/>
        </w:rPr>
      </w:pPr>
    </w:p>
    <w:p>
      <w:pPr>
        <w:spacing w:line="360" w:lineRule="auto"/>
        <w:jc w:val="center"/>
        <w:rPr>
          <w:rFonts w:eastAsia="楷体_GB2312"/>
          <w:b/>
          <w:color w:val="000000"/>
          <w:sz w:val="32"/>
          <w:szCs w:val="32"/>
        </w:rPr>
      </w:pPr>
      <w:r>
        <w:rPr>
          <w:rFonts w:eastAsia="楷体_GB2312"/>
          <w:b/>
          <w:color w:val="000000"/>
          <w:sz w:val="32"/>
          <w:szCs w:val="32"/>
        </w:rPr>
        <w:t>Monetary Policy Analysis Group of</w:t>
      </w:r>
    </w:p>
    <w:p>
      <w:pPr>
        <w:spacing w:line="360" w:lineRule="auto"/>
        <w:jc w:val="center"/>
        <w:rPr>
          <w:rFonts w:eastAsia="楷体_GB2312"/>
          <w:b/>
          <w:color w:val="000000"/>
          <w:sz w:val="32"/>
          <w:szCs w:val="32"/>
        </w:rPr>
      </w:pPr>
      <w:r>
        <w:rPr>
          <w:rFonts w:eastAsia="楷体_GB2312"/>
          <w:b/>
          <w:color w:val="000000"/>
          <w:sz w:val="32"/>
          <w:szCs w:val="32"/>
        </w:rPr>
        <w:t>the People’s Bank of China</w:t>
      </w:r>
    </w:p>
    <w:p>
      <w:pPr>
        <w:pStyle w:val="52"/>
        <w:spacing w:line="360" w:lineRule="auto"/>
        <w:jc w:val="center"/>
        <w:rPr>
          <w:rFonts w:ascii="黑体" w:eastAsia="黑体"/>
          <w:kern w:val="0"/>
          <w:sz w:val="36"/>
        </w:rPr>
      </w:pPr>
    </w:p>
    <w:p>
      <w:pPr>
        <w:spacing w:line="360" w:lineRule="auto"/>
        <w:jc w:val="center"/>
        <w:rPr>
          <w:rFonts w:eastAsia="黑体"/>
          <w:b/>
          <w:color w:val="000000"/>
          <w:spacing w:val="7"/>
          <w:kern w:val="0"/>
          <w:sz w:val="72"/>
        </w:rPr>
      </w:pPr>
    </w:p>
    <w:p>
      <w:pPr>
        <w:autoSpaceDE w:val="0"/>
        <w:autoSpaceDN w:val="0"/>
        <w:adjustRightInd w:val="0"/>
        <w:spacing w:line="360" w:lineRule="auto"/>
        <w:jc w:val="center"/>
        <w:rPr>
          <w:rFonts w:eastAsia="黑体"/>
          <w:b/>
          <w:kern w:val="0"/>
          <w:sz w:val="32"/>
          <w:szCs w:val="32"/>
        </w:rPr>
      </w:pPr>
      <w:bookmarkStart w:id="0" w:name="_Hlt362110369"/>
    </w:p>
    <w:p>
      <w:pPr>
        <w:autoSpaceDE w:val="0"/>
        <w:autoSpaceDN w:val="0"/>
        <w:adjustRightInd w:val="0"/>
        <w:ind w:firstLine="2715" w:firstLineChars="845"/>
        <w:jc w:val="left"/>
        <w:rPr>
          <w:rFonts w:eastAsiaTheme="minorEastAsia"/>
          <w:b/>
          <w:kern w:val="0"/>
          <w:sz w:val="32"/>
          <w:szCs w:val="32"/>
        </w:rPr>
      </w:pPr>
      <w:r>
        <w:rPr>
          <w:rFonts w:eastAsia="黑体"/>
          <w:b/>
          <w:kern w:val="0"/>
          <w:sz w:val="32"/>
          <w:szCs w:val="32"/>
        </w:rPr>
        <w:t>Executive Summary</w:t>
      </w:r>
    </w:p>
    <w:p>
      <w:pPr>
        <w:rPr>
          <w:kern w:val="0"/>
          <w:sz w:val="24"/>
        </w:rPr>
      </w:pPr>
    </w:p>
    <w:p>
      <w:pPr>
        <w:rPr>
          <w:rFonts w:eastAsiaTheme="minorEastAsia"/>
          <w:kern w:val="0"/>
          <w:sz w:val="24"/>
        </w:rPr>
      </w:pPr>
      <w:r>
        <w:rPr>
          <w:kern w:val="0"/>
          <w:sz w:val="24"/>
        </w:rPr>
        <w:t>During</w:t>
      </w:r>
      <w:r>
        <w:rPr>
          <w:rFonts w:hint="eastAsia"/>
          <w:kern w:val="0"/>
          <w:sz w:val="24"/>
        </w:rPr>
        <w:t xml:space="preserve"> </w:t>
      </w:r>
      <w:r>
        <w:rPr>
          <w:rFonts w:hint="eastAsia" w:eastAsiaTheme="minorEastAsia"/>
          <w:kern w:val="0"/>
          <w:sz w:val="24"/>
        </w:rPr>
        <w:t>the first quarter of 2018</w:t>
      </w:r>
      <w:r>
        <w:rPr>
          <w:rFonts w:eastAsia="楷体_GB2312"/>
          <w:kern w:val="0"/>
          <w:sz w:val="24"/>
        </w:rPr>
        <w:t xml:space="preserve"> the </w:t>
      </w:r>
      <w:r>
        <w:rPr>
          <w:rFonts w:hint="eastAsia" w:eastAsia="楷体_GB2312"/>
          <w:kern w:val="0"/>
          <w:sz w:val="24"/>
        </w:rPr>
        <w:t xml:space="preserve">economy </w:t>
      </w:r>
      <w:r>
        <w:rPr>
          <w:rFonts w:eastAsia="楷体_GB2312"/>
          <w:kern w:val="0"/>
          <w:sz w:val="24"/>
        </w:rPr>
        <w:t xml:space="preserve">maintained stable </w:t>
      </w:r>
      <w:r>
        <w:rPr>
          <w:rFonts w:hint="eastAsia" w:eastAsiaTheme="minorEastAsia"/>
          <w:kern w:val="0"/>
          <w:sz w:val="24"/>
        </w:rPr>
        <w:t>growth</w:t>
      </w:r>
      <w:r>
        <w:rPr>
          <w:rFonts w:eastAsiaTheme="minorEastAsia"/>
          <w:kern w:val="0"/>
          <w:sz w:val="24"/>
        </w:rPr>
        <w:t>, with steadily progressing</w:t>
      </w:r>
      <w:r>
        <w:rPr>
          <w:rFonts w:eastAsia="仿宋_GB2312"/>
          <w:sz w:val="24"/>
        </w:rPr>
        <w:t xml:space="preserve"> transformation and upgrading, an increasing role of domestic demand as a driving force, greater contributions by the service industry to economic growth, and fairly good quality and efficiency of growth. </w:t>
      </w:r>
      <w:r>
        <w:rPr>
          <w:rFonts w:eastAsiaTheme="minorEastAsia"/>
          <w:kern w:val="0"/>
          <w:sz w:val="24"/>
        </w:rPr>
        <w:t>T</w:t>
      </w:r>
      <w:r>
        <w:rPr>
          <w:rFonts w:hint="eastAsia" w:eastAsiaTheme="minorEastAsia"/>
          <w:kern w:val="0"/>
          <w:sz w:val="24"/>
        </w:rPr>
        <w:t xml:space="preserve">he Gross Domestic Product (GDP) grew 6.8 percent year on year, </w:t>
      </w:r>
      <w:r>
        <w:rPr>
          <w:rFonts w:eastAsiaTheme="minorEastAsia"/>
          <w:kern w:val="0"/>
          <w:sz w:val="24"/>
        </w:rPr>
        <w:t>and</w:t>
      </w:r>
      <w:r>
        <w:rPr>
          <w:rFonts w:hint="eastAsia" w:eastAsiaTheme="minorEastAsia"/>
          <w:kern w:val="0"/>
          <w:sz w:val="24"/>
        </w:rPr>
        <w:t xml:space="preserve"> the Consumer Price Index (CPI) was up 2.1 percent year on year. </w:t>
      </w:r>
    </w:p>
    <w:p>
      <w:pPr>
        <w:rPr>
          <w:rFonts w:eastAsiaTheme="minorEastAsia"/>
          <w:kern w:val="0"/>
          <w:sz w:val="24"/>
        </w:rPr>
      </w:pPr>
    </w:p>
    <w:p>
      <w:pPr>
        <w:rPr>
          <w:rFonts w:eastAsiaTheme="minorEastAsia"/>
          <w:kern w:val="0"/>
          <w:sz w:val="24"/>
        </w:rPr>
      </w:pPr>
      <w:r>
        <w:rPr>
          <w:rFonts w:eastAsiaTheme="minorEastAsia"/>
          <w:kern w:val="0"/>
          <w:sz w:val="24"/>
        </w:rPr>
        <w:t>From</w:t>
      </w:r>
      <w:r>
        <w:rPr>
          <w:rFonts w:hint="eastAsia" w:eastAsiaTheme="minorEastAsia"/>
          <w:kern w:val="0"/>
          <w:sz w:val="24"/>
        </w:rPr>
        <w:t xml:space="preserve"> the </w:t>
      </w:r>
      <w:r>
        <w:rPr>
          <w:rFonts w:eastAsiaTheme="minorEastAsia"/>
          <w:kern w:val="0"/>
          <w:sz w:val="24"/>
        </w:rPr>
        <w:t>beginning</w:t>
      </w:r>
      <w:r>
        <w:rPr>
          <w:rFonts w:hint="eastAsia" w:eastAsiaTheme="minorEastAsia"/>
          <w:kern w:val="0"/>
          <w:sz w:val="24"/>
        </w:rPr>
        <w:t xml:space="preserve"> of 2018, </w:t>
      </w:r>
      <w:r>
        <w:rPr>
          <w:rFonts w:hint="eastAsia" w:eastAsia="楷体_GB2312"/>
          <w:sz w:val="24"/>
        </w:rPr>
        <w:t>the PBC continued</w:t>
      </w:r>
      <w:r>
        <w:rPr>
          <w:rFonts w:hint="eastAsia" w:eastAsiaTheme="minorEastAsia"/>
          <w:sz w:val="24"/>
        </w:rPr>
        <w:t xml:space="preserve"> </w:t>
      </w:r>
      <w:r>
        <w:rPr>
          <w:rFonts w:eastAsiaTheme="minorEastAsia"/>
          <w:sz w:val="24"/>
        </w:rPr>
        <w:t xml:space="preserve">to </w:t>
      </w:r>
      <w:r>
        <w:rPr>
          <w:rFonts w:hint="eastAsia" w:eastAsiaTheme="minorEastAsia"/>
          <w:sz w:val="24"/>
        </w:rPr>
        <w:t>implement a sound and neutral monetary policy</w:t>
      </w:r>
      <w:r>
        <w:rPr>
          <w:rFonts w:eastAsiaTheme="minorEastAsia"/>
          <w:sz w:val="24"/>
        </w:rPr>
        <w:t xml:space="preserve">. In a timely manner it adjusted and improved the macro-prudential policy, emphasized carefully calibrating the pace, strength, and mix of monetary-policy instruments, and strengthened </w:t>
      </w:r>
      <w:r>
        <w:rPr>
          <w:sz w:val="24"/>
        </w:rPr>
        <w:t>preemptive adjustments</w:t>
      </w:r>
      <w:r>
        <w:rPr>
          <w:rFonts w:eastAsiaTheme="minorEastAsia"/>
          <w:sz w:val="24"/>
        </w:rPr>
        <w:t xml:space="preserve">, fine-tunings, and management of expectations. First, the volume and structure of liquidity were well managed and the role of price leveraging was given full play. </w:t>
      </w:r>
      <w:r>
        <w:rPr>
          <w:rFonts w:hint="eastAsia" w:eastAsiaTheme="minorEastAsia"/>
          <w:sz w:val="24"/>
        </w:rPr>
        <w:t xml:space="preserve"> </w:t>
      </w:r>
      <w:r>
        <w:rPr>
          <w:rFonts w:hint="eastAsia" w:eastAsiaTheme="minorEastAsia"/>
          <w:kern w:val="0"/>
          <w:sz w:val="24"/>
        </w:rPr>
        <w:t>A</w:t>
      </w:r>
      <w:r>
        <w:rPr>
          <w:rFonts w:hint="eastAsia" w:eastAsia="楷体_GB2312"/>
          <w:kern w:val="0"/>
          <w:sz w:val="24"/>
        </w:rPr>
        <w:t xml:space="preserve"> </w:t>
      </w:r>
      <w:r>
        <w:rPr>
          <w:rFonts w:hint="eastAsia" w:eastAsiaTheme="minorEastAsia"/>
          <w:kern w:val="0"/>
          <w:sz w:val="24"/>
        </w:rPr>
        <w:t>combination</w:t>
      </w:r>
      <w:r>
        <w:rPr>
          <w:rFonts w:hint="eastAsia" w:eastAsia="楷体_GB2312"/>
          <w:kern w:val="0"/>
          <w:sz w:val="24"/>
        </w:rPr>
        <w:t xml:space="preserve"> of monetary</w:t>
      </w:r>
      <w:r>
        <w:rPr>
          <w:rFonts w:eastAsia="楷体_GB2312"/>
          <w:kern w:val="0"/>
          <w:sz w:val="24"/>
        </w:rPr>
        <w:t>-</w:t>
      </w:r>
      <w:r>
        <w:rPr>
          <w:rFonts w:hint="eastAsia" w:eastAsia="楷体_GB2312"/>
          <w:kern w:val="0"/>
          <w:sz w:val="24"/>
        </w:rPr>
        <w:t xml:space="preserve">policy instruments </w:t>
      </w:r>
      <w:r>
        <w:rPr>
          <w:rFonts w:eastAsiaTheme="minorEastAsia"/>
          <w:kern w:val="0"/>
          <w:sz w:val="24"/>
        </w:rPr>
        <w:t>were</w:t>
      </w:r>
      <w:r>
        <w:rPr>
          <w:rFonts w:hint="eastAsia" w:eastAsia="楷体_GB2312"/>
          <w:kern w:val="0"/>
          <w:sz w:val="24"/>
        </w:rPr>
        <w:t xml:space="preserve"> </w:t>
      </w:r>
      <w:r>
        <w:rPr>
          <w:rFonts w:hint="eastAsia" w:eastAsiaTheme="minorEastAsia"/>
          <w:kern w:val="0"/>
          <w:sz w:val="24"/>
        </w:rPr>
        <w:t>used</w:t>
      </w:r>
      <w:r>
        <w:rPr>
          <w:rFonts w:hint="eastAsia" w:eastAsia="楷体_GB2312"/>
          <w:kern w:val="0"/>
          <w:sz w:val="24"/>
        </w:rPr>
        <w:t xml:space="preserve"> in a flexible way</w:t>
      </w:r>
      <w:r>
        <w:rPr>
          <w:rFonts w:hint="eastAsia" w:eastAsiaTheme="minorEastAsia"/>
          <w:kern w:val="0"/>
          <w:sz w:val="24"/>
        </w:rPr>
        <w:t>, including repo</w:t>
      </w:r>
      <w:r>
        <w:rPr>
          <w:rFonts w:eastAsiaTheme="minorEastAsia"/>
          <w:kern w:val="0"/>
          <w:sz w:val="24"/>
        </w:rPr>
        <w:t>s,</w:t>
      </w:r>
      <w:r>
        <w:rPr>
          <w:rFonts w:hint="eastAsia" w:eastAsia="楷体_GB2312"/>
          <w:kern w:val="0"/>
          <w:sz w:val="24"/>
        </w:rPr>
        <w:t xml:space="preserve"> the Medium-term Lending Facility (MLF) and the Standing Lending Facility</w:t>
      </w:r>
      <w:r>
        <w:rPr>
          <w:rFonts w:hint="eastAsia" w:eastAsiaTheme="minorEastAsia"/>
          <w:kern w:val="0"/>
          <w:sz w:val="24"/>
        </w:rPr>
        <w:t xml:space="preserve"> (SLF)</w:t>
      </w:r>
      <w:r>
        <w:rPr>
          <w:rFonts w:eastAsiaTheme="minorEastAsia"/>
          <w:kern w:val="0"/>
          <w:sz w:val="24"/>
        </w:rPr>
        <w:t>,</w:t>
      </w:r>
      <w:r>
        <w:rPr>
          <w:rFonts w:hint="eastAsia" w:eastAsia="楷体_GB2312"/>
          <w:kern w:val="0"/>
          <w:sz w:val="24"/>
        </w:rPr>
        <w:t xml:space="preserve"> to provide liquidity </w:t>
      </w:r>
      <w:r>
        <w:rPr>
          <w:rFonts w:eastAsia="楷体_GB2312"/>
          <w:kern w:val="0"/>
          <w:sz w:val="24"/>
        </w:rPr>
        <w:t>of</w:t>
      </w:r>
      <w:r>
        <w:rPr>
          <w:rFonts w:hint="eastAsia" w:eastAsia="楷体_GB2312"/>
          <w:kern w:val="0"/>
          <w:sz w:val="24"/>
        </w:rPr>
        <w:t xml:space="preserve"> different maturities</w:t>
      </w:r>
      <w:r>
        <w:rPr>
          <w:rFonts w:eastAsia="楷体_GB2312"/>
          <w:kern w:val="0"/>
          <w:sz w:val="24"/>
        </w:rPr>
        <w:t xml:space="preserve">. The Contingency Reserve Arrangement (CRA) helped smooth the </w:t>
      </w:r>
      <w:r>
        <w:rPr>
          <w:rFonts w:hint="eastAsia" w:eastAsiaTheme="minorEastAsia"/>
          <w:kern w:val="0"/>
          <w:sz w:val="24"/>
        </w:rPr>
        <w:t>temporary</w:t>
      </w:r>
      <w:r>
        <w:rPr>
          <w:rFonts w:eastAsia="楷体_GB2312"/>
          <w:kern w:val="0"/>
          <w:sz w:val="24"/>
        </w:rPr>
        <w:t xml:space="preserve"> liquidity volatilities caused by the large injection of cash before the Spring Festival. Targeted cuts were made to the reserve requirement ratios (RRR) of selected financial institutions to replace the MLF, thus stabilizing the provision of liquidity in the banking system and optimizing the structure of liquidity. The bidding interest rates of open market operations </w:t>
      </w:r>
      <w:r>
        <w:rPr>
          <w:rFonts w:hint="eastAsia" w:eastAsiaTheme="minorEastAsia"/>
          <w:kern w:val="0"/>
          <w:sz w:val="24"/>
        </w:rPr>
        <w:t>edged up in line with market conditions.</w:t>
      </w:r>
      <w:r>
        <w:rPr>
          <w:rFonts w:eastAsiaTheme="minorEastAsia"/>
          <w:kern w:val="0"/>
          <w:sz w:val="24"/>
        </w:rPr>
        <w:t xml:space="preserve"> Second, targeted RRR cuts for inclusive financing were implemented. Credit policies were adopted to support the use of tools such as </w:t>
      </w:r>
      <w:r>
        <w:rPr>
          <w:sz w:val="24"/>
        </w:rPr>
        <w:t>central-bank lending, central-bank discounts, and Pledged Supplementary Lending (PSL)</w:t>
      </w:r>
      <w:r>
        <w:rPr>
          <w:rFonts w:eastAsiaTheme="minorEastAsia"/>
          <w:kern w:val="0"/>
          <w:sz w:val="24"/>
        </w:rPr>
        <w:t xml:space="preserve"> to guide financial institutions in </w:t>
      </w:r>
      <w:r>
        <w:rPr>
          <w:rFonts w:hint="eastAsia" w:eastAsiaTheme="minorEastAsia"/>
          <w:kern w:val="0"/>
          <w:sz w:val="24"/>
        </w:rPr>
        <w:t>beef</w:t>
      </w:r>
      <w:r>
        <w:rPr>
          <w:rFonts w:eastAsiaTheme="minorEastAsia"/>
          <w:kern w:val="0"/>
          <w:sz w:val="24"/>
        </w:rPr>
        <w:t>ing</w:t>
      </w:r>
      <w:r>
        <w:rPr>
          <w:rFonts w:hint="eastAsia" w:eastAsiaTheme="minorEastAsia"/>
          <w:kern w:val="0"/>
          <w:sz w:val="24"/>
        </w:rPr>
        <w:t xml:space="preserve"> up support for priority areas and </w:t>
      </w:r>
      <w:r>
        <w:rPr>
          <w:rFonts w:eastAsiaTheme="minorEastAsia"/>
          <w:kern w:val="0"/>
          <w:sz w:val="24"/>
        </w:rPr>
        <w:t xml:space="preserve">for </w:t>
      </w:r>
      <w:r>
        <w:rPr>
          <w:rFonts w:hint="eastAsia" w:eastAsiaTheme="minorEastAsia"/>
          <w:kern w:val="0"/>
          <w:sz w:val="24"/>
        </w:rPr>
        <w:t xml:space="preserve">weak links in the economy. </w:t>
      </w:r>
      <w:r>
        <w:rPr>
          <w:rFonts w:eastAsiaTheme="minorEastAsia"/>
          <w:kern w:val="0"/>
          <w:sz w:val="24"/>
        </w:rPr>
        <w:t xml:space="preserve">Third, </w:t>
      </w:r>
      <w:r>
        <w:rPr>
          <w:rFonts w:hint="eastAsia" w:eastAsiaTheme="minorEastAsia"/>
          <w:kern w:val="0"/>
          <w:sz w:val="24"/>
        </w:rPr>
        <w:t xml:space="preserve">the </w:t>
      </w:r>
      <w:r>
        <w:rPr>
          <w:rFonts w:hint="eastAsia"/>
          <w:kern w:val="0"/>
          <w:sz w:val="24"/>
        </w:rPr>
        <w:t xml:space="preserve">macro-prudential policy framework </w:t>
      </w:r>
      <w:r>
        <w:rPr>
          <w:rFonts w:eastAsiaTheme="minorEastAsia"/>
          <w:kern w:val="0"/>
          <w:sz w:val="24"/>
        </w:rPr>
        <w:t>was</w:t>
      </w:r>
      <w:r>
        <w:rPr>
          <w:rFonts w:hint="eastAsia" w:eastAsiaTheme="minorEastAsia"/>
          <w:kern w:val="0"/>
          <w:sz w:val="24"/>
        </w:rPr>
        <w:t xml:space="preserve"> further improved</w:t>
      </w:r>
      <w:r>
        <w:rPr>
          <w:rFonts w:eastAsiaTheme="minorEastAsia"/>
          <w:kern w:val="0"/>
          <w:sz w:val="24"/>
        </w:rPr>
        <w:t>. Since the first quarter of 2018, inter-bank</w:t>
      </w:r>
      <w:r>
        <w:rPr>
          <w:rFonts w:eastAsia="仿宋_GB2312"/>
          <w:sz w:val="24"/>
        </w:rPr>
        <w:t xml:space="preserve"> certificates of deposit were included in the calculation of the inter-bank liability ratio for macro-prudential assessments (MPA)</w:t>
      </w:r>
      <w:r>
        <w:rPr>
          <w:rFonts w:eastAsiaTheme="minorEastAsia"/>
          <w:kern w:val="0"/>
          <w:sz w:val="24"/>
        </w:rPr>
        <w:t xml:space="preserve">. Against the backdrop of basically balanced cross-border capital flows and foreign-exchange supply and demand, the counter-cyclical macro-prudential policies for capital flows that were announced earlier all returned to a neutral stance. </w:t>
      </w:r>
    </w:p>
    <w:p>
      <w:pPr>
        <w:rPr>
          <w:rFonts w:eastAsiaTheme="minorEastAsia"/>
          <w:kern w:val="0"/>
          <w:sz w:val="24"/>
        </w:rPr>
      </w:pPr>
    </w:p>
    <w:p>
      <w:pPr>
        <w:rPr>
          <w:rFonts w:eastAsiaTheme="minorEastAsia"/>
          <w:kern w:val="0"/>
          <w:sz w:val="24"/>
        </w:rPr>
      </w:pPr>
      <w:r>
        <w:rPr>
          <w:rFonts w:eastAsiaTheme="minorEastAsia"/>
          <w:kern w:val="0"/>
          <w:sz w:val="24"/>
        </w:rPr>
        <w:t>In general, t</w:t>
      </w:r>
      <w:r>
        <w:rPr>
          <w:sz w:val="24"/>
        </w:rPr>
        <w:t xml:space="preserve">he sound </w:t>
      </w:r>
      <w:r>
        <w:rPr>
          <w:rFonts w:hint="eastAsia" w:eastAsiaTheme="minorEastAsia"/>
          <w:sz w:val="24"/>
        </w:rPr>
        <w:t xml:space="preserve">and neutral </w:t>
      </w:r>
      <w:r>
        <w:rPr>
          <w:sz w:val="24"/>
        </w:rPr>
        <w:t>monetary policy produced fairly good results. Liquidity in the banking system remained reasonable and stable</w:t>
      </w:r>
      <w:r>
        <w:rPr>
          <w:rFonts w:hint="eastAsia" w:eastAsiaTheme="minorEastAsia"/>
          <w:sz w:val="24"/>
        </w:rPr>
        <w:t>. M</w:t>
      </w:r>
      <w:r>
        <w:rPr>
          <w:rFonts w:hint="eastAsia"/>
          <w:sz w:val="24"/>
        </w:rPr>
        <w:t>oney, credit</w:t>
      </w:r>
      <w:r>
        <w:rPr>
          <w:sz w:val="24"/>
        </w:rPr>
        <w:t>,</w:t>
      </w:r>
      <w:r>
        <w:rPr>
          <w:rFonts w:hint="eastAsia"/>
          <w:sz w:val="24"/>
        </w:rPr>
        <w:t xml:space="preserve"> and all-</w:t>
      </w:r>
      <w:r>
        <w:rPr>
          <w:sz w:val="24"/>
        </w:rPr>
        <w:t>system financing</w:t>
      </w:r>
      <w:r>
        <w:rPr>
          <w:rFonts w:hint="eastAsia"/>
          <w:sz w:val="24"/>
        </w:rPr>
        <w:t xml:space="preserve"> </w:t>
      </w:r>
      <w:r>
        <w:rPr>
          <w:sz w:val="24"/>
        </w:rPr>
        <w:t>aggregates</w:t>
      </w:r>
      <w:r>
        <w:rPr>
          <w:rFonts w:hint="eastAsia"/>
          <w:sz w:val="24"/>
        </w:rPr>
        <w:t xml:space="preserve"> </w:t>
      </w:r>
      <w:r>
        <w:rPr>
          <w:rFonts w:hint="eastAsia" w:eastAsiaTheme="minorEastAsia"/>
          <w:sz w:val="24"/>
        </w:rPr>
        <w:t>grew at a</w:t>
      </w:r>
      <w:r>
        <w:rPr>
          <w:rFonts w:eastAsiaTheme="minorEastAsia"/>
          <w:sz w:val="24"/>
        </w:rPr>
        <w:t>n appropriate</w:t>
      </w:r>
      <w:r>
        <w:rPr>
          <w:rFonts w:hint="eastAsia" w:eastAsiaTheme="minorEastAsia"/>
          <w:sz w:val="24"/>
        </w:rPr>
        <w:t xml:space="preserve"> pace, </w:t>
      </w:r>
      <w:r>
        <w:rPr>
          <w:sz w:val="24"/>
        </w:rPr>
        <w:t>interest rate</w:t>
      </w:r>
      <w:r>
        <w:rPr>
          <w:rFonts w:hint="eastAsia"/>
          <w:sz w:val="24"/>
        </w:rPr>
        <w:t>s</w:t>
      </w:r>
      <w:r>
        <w:rPr>
          <w:sz w:val="24"/>
        </w:rPr>
        <w:t xml:space="preserve"> </w:t>
      </w:r>
      <w:r>
        <w:rPr>
          <w:rFonts w:hint="eastAsia"/>
          <w:sz w:val="24"/>
        </w:rPr>
        <w:t xml:space="preserve">remained </w:t>
      </w:r>
      <w:r>
        <w:rPr>
          <w:rFonts w:eastAsiaTheme="minorEastAsia"/>
          <w:sz w:val="24"/>
        </w:rPr>
        <w:t>basically stable,</w:t>
      </w:r>
      <w:r>
        <w:rPr>
          <w:rFonts w:hint="eastAsia"/>
          <w:sz w:val="24"/>
        </w:rPr>
        <w:t xml:space="preserve"> </w:t>
      </w:r>
      <w:r>
        <w:rPr>
          <w:sz w:val="24"/>
        </w:rPr>
        <w:t xml:space="preserve">and efforts to control internal leveraging of the financial system </w:t>
      </w:r>
      <w:r>
        <w:rPr>
          <w:rFonts w:hint="eastAsia" w:eastAsiaTheme="minorEastAsia"/>
          <w:sz w:val="24"/>
        </w:rPr>
        <w:t>made</w:t>
      </w:r>
      <w:r>
        <w:rPr>
          <w:sz w:val="24"/>
        </w:rPr>
        <w:t xml:space="preserve"> progress. All of these played a vital role in serving the real economy and in mitigating financial risks.</w:t>
      </w:r>
      <w:r>
        <w:rPr>
          <w:rFonts w:hint="eastAsia"/>
          <w:sz w:val="24"/>
        </w:rPr>
        <w:t xml:space="preserve"> </w:t>
      </w:r>
      <w:r>
        <w:rPr>
          <w:sz w:val="24"/>
        </w:rPr>
        <w:t>A</w:t>
      </w:r>
      <w:r>
        <w:rPr>
          <w:rFonts w:hint="eastAsia"/>
          <w:sz w:val="24"/>
        </w:rPr>
        <w:t>t end</w:t>
      </w:r>
      <w:r>
        <w:rPr>
          <w:rFonts w:hint="eastAsia" w:eastAsiaTheme="minorEastAsia"/>
          <w:sz w:val="24"/>
        </w:rPr>
        <w:t>-March 201</w:t>
      </w:r>
      <w:r>
        <w:rPr>
          <w:rFonts w:eastAsiaTheme="minorEastAsia"/>
          <w:sz w:val="24"/>
        </w:rPr>
        <w:t>8</w:t>
      </w:r>
      <w:r>
        <w:rPr>
          <w:rFonts w:hint="eastAsia"/>
          <w:sz w:val="24"/>
        </w:rPr>
        <w:t xml:space="preserve">, outstanding M2 </w:t>
      </w:r>
      <w:r>
        <w:rPr>
          <w:sz w:val="24"/>
        </w:rPr>
        <w:t>was growing</w:t>
      </w:r>
      <w:r>
        <w:rPr>
          <w:rFonts w:hint="eastAsia"/>
          <w:sz w:val="24"/>
        </w:rPr>
        <w:t xml:space="preserve"> by 8.2 percent year on year. </w:t>
      </w:r>
      <w:r>
        <w:rPr>
          <w:sz w:val="24"/>
        </w:rPr>
        <w:t xml:space="preserve">The outstanding </w:t>
      </w:r>
      <w:r>
        <w:rPr>
          <w:rFonts w:hint="eastAsia"/>
          <w:sz w:val="24"/>
        </w:rPr>
        <w:t xml:space="preserve">volume of </w:t>
      </w:r>
      <w:r>
        <w:rPr>
          <w:sz w:val="24"/>
        </w:rPr>
        <w:t>RMB loans was up 1</w:t>
      </w:r>
      <w:r>
        <w:rPr>
          <w:rFonts w:hint="eastAsia" w:eastAsiaTheme="minorEastAsia"/>
          <w:sz w:val="24"/>
        </w:rPr>
        <w:t>2.8</w:t>
      </w:r>
      <w:r>
        <w:rPr>
          <w:sz w:val="24"/>
        </w:rPr>
        <w:t xml:space="preserve"> percent year on year</w:t>
      </w:r>
      <w:r>
        <w:rPr>
          <w:rFonts w:hint="eastAsia" w:eastAsiaTheme="minorEastAsia"/>
          <w:sz w:val="24"/>
        </w:rPr>
        <w:t xml:space="preserve">, representing an increase of RMB 4.9 trillion from the beginning of the year, </w:t>
      </w:r>
      <w:r>
        <w:rPr>
          <w:rFonts w:eastAsiaTheme="minorEastAsia"/>
          <w:sz w:val="24"/>
        </w:rPr>
        <w:t xml:space="preserve">and representing </w:t>
      </w:r>
      <w:r>
        <w:rPr>
          <w:rFonts w:hint="eastAsia" w:eastAsiaTheme="minorEastAsia"/>
          <w:sz w:val="24"/>
        </w:rPr>
        <w:t xml:space="preserve">an acceleration of RMB </w:t>
      </w:r>
      <w:r>
        <w:rPr>
          <w:rFonts w:eastAsiaTheme="minorEastAsia"/>
          <w:sz w:val="24"/>
        </w:rPr>
        <w:t>633.9</w:t>
      </w:r>
      <w:r>
        <w:rPr>
          <w:rFonts w:hint="eastAsia" w:eastAsiaTheme="minorEastAsia"/>
          <w:sz w:val="24"/>
        </w:rPr>
        <w:t xml:space="preserve"> billion from </w:t>
      </w:r>
      <w:r>
        <w:rPr>
          <w:rFonts w:eastAsiaTheme="minorEastAsia"/>
          <w:sz w:val="24"/>
        </w:rPr>
        <w:t>the previous year.</w:t>
      </w:r>
      <w:r>
        <w:rPr>
          <w:rFonts w:hint="eastAsia"/>
          <w:sz w:val="24"/>
        </w:rPr>
        <w:t xml:space="preserve"> The</w:t>
      </w:r>
      <w:r>
        <w:rPr>
          <w:sz w:val="24"/>
        </w:rPr>
        <w:t xml:space="preserve"> stock of all-system financing aggregates was growing by 10</w:t>
      </w:r>
      <w:r>
        <w:rPr>
          <w:rFonts w:hint="eastAsia"/>
          <w:sz w:val="24"/>
        </w:rPr>
        <w:t>.</w:t>
      </w:r>
      <w:r>
        <w:rPr>
          <w:rFonts w:hint="eastAsia" w:eastAsiaTheme="minorEastAsia"/>
          <w:sz w:val="24"/>
        </w:rPr>
        <w:t>5</w:t>
      </w:r>
      <w:r>
        <w:rPr>
          <w:sz w:val="24"/>
        </w:rPr>
        <w:t xml:space="preserve"> percent year on year. In</w:t>
      </w:r>
      <w:r>
        <w:rPr>
          <w:rFonts w:hint="eastAsia"/>
          <w:sz w:val="24"/>
        </w:rPr>
        <w:t xml:space="preserve"> </w:t>
      </w:r>
      <w:r>
        <w:rPr>
          <w:rFonts w:hint="eastAsia" w:eastAsiaTheme="minorEastAsia"/>
          <w:sz w:val="24"/>
        </w:rPr>
        <w:t>March</w:t>
      </w:r>
      <w:r>
        <w:rPr>
          <w:sz w:val="24"/>
        </w:rPr>
        <w:t>, the weighted average interest rate</w:t>
      </w:r>
      <w:r>
        <w:rPr>
          <w:rFonts w:hint="eastAsia"/>
          <w:sz w:val="24"/>
        </w:rPr>
        <w:t xml:space="preserve"> of </w:t>
      </w:r>
      <w:r>
        <w:rPr>
          <w:sz w:val="24"/>
        </w:rPr>
        <w:t>loans to non-financial enterprises and other sectors was 5.</w:t>
      </w:r>
      <w:r>
        <w:rPr>
          <w:rFonts w:hint="eastAsia" w:eastAsiaTheme="minorEastAsia"/>
          <w:sz w:val="24"/>
        </w:rPr>
        <w:t xml:space="preserve">96 </w:t>
      </w:r>
      <w:r>
        <w:rPr>
          <w:sz w:val="24"/>
        </w:rPr>
        <w:t xml:space="preserve">percent. </w:t>
      </w:r>
      <w:r>
        <w:rPr>
          <w:rFonts w:eastAsia="楷体_GB2312"/>
          <w:kern w:val="0"/>
          <w:sz w:val="24"/>
        </w:rPr>
        <w:t>At end-</w:t>
      </w:r>
      <w:r>
        <w:rPr>
          <w:rFonts w:hint="eastAsia" w:eastAsiaTheme="minorEastAsia"/>
          <w:kern w:val="0"/>
          <w:sz w:val="24"/>
        </w:rPr>
        <w:t>March</w:t>
      </w:r>
      <w:r>
        <w:rPr>
          <w:rFonts w:eastAsia="楷体_GB2312"/>
          <w:kern w:val="0"/>
          <w:sz w:val="24"/>
        </w:rPr>
        <w:t>,</w:t>
      </w:r>
      <w:r>
        <w:rPr>
          <w:rFonts w:hint="eastAsia" w:eastAsia="楷体_GB2312"/>
          <w:kern w:val="0"/>
          <w:sz w:val="24"/>
        </w:rPr>
        <w:t xml:space="preserve"> </w:t>
      </w:r>
      <w:r>
        <w:rPr>
          <w:rFonts w:eastAsia="楷体_GB2312"/>
          <w:kern w:val="0"/>
          <w:sz w:val="24"/>
        </w:rPr>
        <w:t xml:space="preserve">the CFETS RMB exchange-rate index </w:t>
      </w:r>
      <w:r>
        <w:rPr>
          <w:rFonts w:hint="eastAsia" w:eastAsia="楷体_GB2312"/>
          <w:kern w:val="0"/>
          <w:sz w:val="24"/>
        </w:rPr>
        <w:t xml:space="preserve">was </w:t>
      </w:r>
      <w:r>
        <w:rPr>
          <w:rFonts w:hint="eastAsia"/>
          <w:kern w:val="0"/>
          <w:sz w:val="24"/>
        </w:rPr>
        <w:t>9</w:t>
      </w:r>
      <w:r>
        <w:rPr>
          <w:rFonts w:hint="eastAsia" w:eastAsiaTheme="minorEastAsia"/>
          <w:kern w:val="0"/>
          <w:sz w:val="24"/>
        </w:rPr>
        <w:t>6.7</w:t>
      </w:r>
      <w:r>
        <w:rPr>
          <w:rFonts w:hint="eastAsia"/>
          <w:kern w:val="0"/>
          <w:sz w:val="24"/>
        </w:rPr>
        <w:t xml:space="preserve">3, and </w:t>
      </w:r>
      <w:r>
        <w:rPr>
          <w:rFonts w:hint="eastAsia" w:eastAsia="楷体_GB2312"/>
          <w:kern w:val="0"/>
          <w:sz w:val="24"/>
        </w:rPr>
        <w:t xml:space="preserve">the </w:t>
      </w:r>
      <w:r>
        <w:rPr>
          <w:rFonts w:eastAsia="楷体_GB2312"/>
          <w:kern w:val="0"/>
          <w:sz w:val="24"/>
        </w:rPr>
        <w:t xml:space="preserve">central parity of the RMB against the US dollar was </w:t>
      </w:r>
      <w:r>
        <w:rPr>
          <w:rFonts w:hint="eastAsia" w:eastAsia="楷体_GB2312"/>
          <w:kern w:val="0"/>
          <w:sz w:val="24"/>
        </w:rPr>
        <w:t xml:space="preserve">RMB </w:t>
      </w:r>
      <w:r>
        <w:rPr>
          <w:rFonts w:eastAsia="楷体_GB2312"/>
          <w:kern w:val="0"/>
          <w:sz w:val="24"/>
        </w:rPr>
        <w:t>6.</w:t>
      </w:r>
      <w:r>
        <w:rPr>
          <w:rFonts w:eastAsiaTheme="minorEastAsia"/>
          <w:kern w:val="0"/>
          <w:sz w:val="24"/>
        </w:rPr>
        <w:t>2881</w:t>
      </w:r>
      <w:r>
        <w:rPr>
          <w:rFonts w:eastAsia="楷体_GB2312"/>
          <w:kern w:val="0"/>
          <w:sz w:val="24"/>
        </w:rPr>
        <w:t>.</w:t>
      </w:r>
    </w:p>
    <w:p>
      <w:pPr>
        <w:rPr>
          <w:rFonts w:eastAsia="楷体_GB2312"/>
          <w:kern w:val="0"/>
          <w:sz w:val="24"/>
        </w:rPr>
      </w:pPr>
    </w:p>
    <w:p>
      <w:pPr>
        <w:rPr>
          <w:rFonts w:eastAsiaTheme="minorEastAsia"/>
          <w:kern w:val="0"/>
          <w:sz w:val="24"/>
        </w:rPr>
      </w:pPr>
      <w:r>
        <w:rPr>
          <w:rFonts w:eastAsiaTheme="minorEastAsia"/>
          <w:kern w:val="0"/>
          <w:sz w:val="24"/>
        </w:rPr>
        <w:t>At the current juncture, the global political and economic environments have become more complicated. On the one hand, the global economic recovery has continuously gained momentum. On the other hand, trade frictions and</w:t>
      </w:r>
      <w:r>
        <w:rPr>
          <w:rFonts w:hint="eastAsia" w:eastAsiaTheme="minorEastAsia"/>
          <w:kern w:val="0"/>
          <w:sz w:val="24"/>
        </w:rPr>
        <w:t xml:space="preserve"> geopolitical </w:t>
      </w:r>
      <w:r>
        <w:rPr>
          <w:rFonts w:eastAsiaTheme="minorEastAsia"/>
          <w:kern w:val="0"/>
          <w:sz w:val="24"/>
        </w:rPr>
        <w:t>factors</w:t>
      </w:r>
      <w:r>
        <w:rPr>
          <w:rFonts w:hint="eastAsia" w:eastAsiaTheme="minorEastAsia"/>
          <w:kern w:val="0"/>
          <w:sz w:val="24"/>
        </w:rPr>
        <w:t xml:space="preserve"> </w:t>
      </w:r>
      <w:r>
        <w:rPr>
          <w:rFonts w:eastAsiaTheme="minorEastAsia"/>
          <w:kern w:val="0"/>
          <w:sz w:val="24"/>
        </w:rPr>
        <w:t xml:space="preserve">have brought about </w:t>
      </w:r>
      <w:r>
        <w:rPr>
          <w:rFonts w:hint="eastAsia" w:eastAsiaTheme="minorEastAsia"/>
          <w:kern w:val="0"/>
          <w:sz w:val="24"/>
        </w:rPr>
        <w:t>significant</w:t>
      </w:r>
      <w:r>
        <w:rPr>
          <w:rFonts w:eastAsiaTheme="minorEastAsia"/>
          <w:kern w:val="0"/>
          <w:sz w:val="24"/>
        </w:rPr>
        <w:t xml:space="preserve"> uncertainties. Although positive changes have taken place in the structural adjustment of the domestic economy and the financial system, some underlying problems remain unresolved. The essential characteristic that the Chinese economy has shifted from a phase of rapid growth to a phase of high-quality development must be borne in mind. Emphasis should be placed on improving the quality and efficiency of the supply-side system through </w:t>
      </w:r>
      <w:r>
        <w:rPr>
          <w:rFonts w:hint="eastAsia"/>
          <w:kern w:val="0"/>
          <w:sz w:val="24"/>
        </w:rPr>
        <w:t>structural reforms</w:t>
      </w:r>
      <w:r>
        <w:rPr>
          <w:rFonts w:eastAsiaTheme="minorEastAsia"/>
          <w:kern w:val="0"/>
          <w:sz w:val="24"/>
        </w:rPr>
        <w:t xml:space="preserve">. Strenuous </w:t>
      </w:r>
      <w:r>
        <w:rPr>
          <w:rFonts w:hint="eastAsia"/>
          <w:kern w:val="0"/>
          <w:sz w:val="24"/>
        </w:rPr>
        <w:t>efforts</w:t>
      </w:r>
      <w:r>
        <w:rPr>
          <w:kern w:val="0"/>
          <w:sz w:val="24"/>
        </w:rPr>
        <w:t xml:space="preserve"> are needed to promote reform and opening-up and </w:t>
      </w:r>
      <w:r>
        <w:rPr>
          <w:rFonts w:hint="eastAsia" w:eastAsiaTheme="minorEastAsia"/>
          <w:kern w:val="0"/>
          <w:sz w:val="24"/>
        </w:rPr>
        <w:t xml:space="preserve">to achieve </w:t>
      </w:r>
      <w:r>
        <w:rPr>
          <w:rFonts w:eastAsiaTheme="minorEastAsia"/>
          <w:kern w:val="0"/>
          <w:sz w:val="24"/>
        </w:rPr>
        <w:t>better quality, higher efficiency, and more robust drivers of economic growth based on the reforms</w:t>
      </w:r>
      <w:r>
        <w:rPr>
          <w:kern w:val="0"/>
          <w:sz w:val="24"/>
        </w:rPr>
        <w:t xml:space="preserve">. </w:t>
      </w:r>
      <w:r>
        <w:rPr>
          <w:rFonts w:hint="eastAsia"/>
          <w:kern w:val="0"/>
          <w:sz w:val="24"/>
        </w:rPr>
        <w:t xml:space="preserve"> </w:t>
      </w:r>
    </w:p>
    <w:p>
      <w:pPr>
        <w:rPr>
          <w:rFonts w:eastAsiaTheme="minorEastAsia"/>
          <w:kern w:val="0"/>
          <w:sz w:val="24"/>
        </w:rPr>
      </w:pPr>
    </w:p>
    <w:p>
      <w:pPr>
        <w:ind w:left="-141" w:leftChars="-67"/>
        <w:rPr>
          <w:sz w:val="24"/>
        </w:rPr>
      </w:pPr>
      <w:r>
        <w:rPr>
          <w:rFonts w:hint="eastAsia"/>
          <w:sz w:val="24"/>
        </w:rPr>
        <w:t xml:space="preserve">Going forward, the PBC will continue to </w:t>
      </w:r>
      <w:r>
        <w:rPr>
          <w:sz w:val="24"/>
        </w:rPr>
        <w:t>follow the</w:t>
      </w:r>
      <w:r>
        <w:rPr>
          <w:rFonts w:hint="eastAsia"/>
          <w:sz w:val="24"/>
        </w:rPr>
        <w:t xml:space="preserve"> overall</w:t>
      </w:r>
      <w:r>
        <w:rPr>
          <w:sz w:val="24"/>
        </w:rPr>
        <w:t xml:space="preserve"> arrangements of the </w:t>
      </w:r>
      <w:r>
        <w:rPr>
          <w:rFonts w:hint="eastAsia"/>
          <w:sz w:val="24"/>
        </w:rPr>
        <w:t xml:space="preserve">CPC </w:t>
      </w:r>
      <w:r>
        <w:rPr>
          <w:sz w:val="24"/>
        </w:rPr>
        <w:t>Central Committee, the State Council,</w:t>
      </w:r>
      <w:r>
        <w:rPr>
          <w:rFonts w:hint="eastAsia" w:eastAsiaTheme="minorEastAsia"/>
          <w:sz w:val="24"/>
        </w:rPr>
        <w:t xml:space="preserve"> and</w:t>
      </w:r>
      <w:r>
        <w:rPr>
          <w:sz w:val="24"/>
        </w:rPr>
        <w:t xml:space="preserve"> Xi Jinping’s Thought on Socialism with Chinese Characteristics for a New Era, </w:t>
      </w:r>
      <w:r>
        <w:rPr>
          <w:rFonts w:hint="eastAsia" w:eastAsiaTheme="minorEastAsia"/>
          <w:sz w:val="24"/>
        </w:rPr>
        <w:t xml:space="preserve">focus on </w:t>
      </w:r>
      <w:r>
        <w:rPr>
          <w:sz w:val="24"/>
        </w:rPr>
        <w:t xml:space="preserve">the three tasks of serving the real economy, </w:t>
      </w:r>
      <w:r>
        <w:rPr>
          <w:rFonts w:hint="eastAsia" w:eastAsiaTheme="minorEastAsia"/>
          <w:sz w:val="24"/>
        </w:rPr>
        <w:t>guarding against</w:t>
      </w:r>
      <w:r>
        <w:rPr>
          <w:sz w:val="24"/>
        </w:rPr>
        <w:t xml:space="preserve"> financial risks, and deepening financial reform</w:t>
      </w:r>
      <w:r>
        <w:rPr>
          <w:rFonts w:hint="eastAsia" w:eastAsiaTheme="minorEastAsia"/>
          <w:sz w:val="24"/>
        </w:rPr>
        <w:t>,</w:t>
      </w:r>
      <w:r>
        <w:rPr>
          <w:sz w:val="24"/>
        </w:rPr>
        <w:t xml:space="preserve"> adopt innovative approaches </w:t>
      </w:r>
      <w:r>
        <w:rPr>
          <w:rFonts w:hint="eastAsia"/>
          <w:sz w:val="24"/>
        </w:rPr>
        <w:t xml:space="preserve">to improve </w:t>
      </w:r>
      <w:r>
        <w:rPr>
          <w:sz w:val="24"/>
        </w:rPr>
        <w:t xml:space="preserve">financial </w:t>
      </w:r>
      <w:r>
        <w:rPr>
          <w:rFonts w:hint="eastAsia"/>
          <w:sz w:val="24"/>
        </w:rPr>
        <w:t>macro</w:t>
      </w:r>
      <w:r>
        <w:rPr>
          <w:sz w:val="24"/>
        </w:rPr>
        <w:t xml:space="preserve"> controls</w:t>
      </w:r>
      <w:r>
        <w:rPr>
          <w:rFonts w:hint="eastAsia"/>
          <w:sz w:val="24"/>
        </w:rPr>
        <w:t xml:space="preserve">, </w:t>
      </w:r>
      <w:r>
        <w:rPr>
          <w:sz w:val="24"/>
        </w:rPr>
        <w:t xml:space="preserve">maintain policy consistency and stability, </w:t>
      </w:r>
      <w:r>
        <w:rPr>
          <w:rFonts w:hint="eastAsia"/>
          <w:sz w:val="24"/>
        </w:rPr>
        <w:t xml:space="preserve">implement a sound and neutral monetary policy, attach importance to </w:t>
      </w:r>
      <w:r>
        <w:rPr>
          <w:sz w:val="24"/>
        </w:rPr>
        <w:t xml:space="preserve">management of </w:t>
      </w:r>
      <w:r>
        <w:rPr>
          <w:rFonts w:hint="eastAsia"/>
          <w:sz w:val="24"/>
        </w:rPr>
        <w:t xml:space="preserve">expectations, </w:t>
      </w:r>
      <w:r>
        <w:rPr>
          <w:sz w:val="24"/>
        </w:rPr>
        <w:t xml:space="preserve">and create </w:t>
      </w:r>
      <w:r>
        <w:rPr>
          <w:rFonts w:hint="eastAsia" w:eastAsiaTheme="minorEastAsia"/>
          <w:sz w:val="24"/>
        </w:rPr>
        <w:t xml:space="preserve">a </w:t>
      </w:r>
      <w:r>
        <w:rPr>
          <w:sz w:val="24"/>
        </w:rPr>
        <w:t>neutral and appropriate monetary and financial environment for supply-side structural reforms and high-quality development.</w:t>
      </w:r>
      <w:r>
        <w:rPr>
          <w:rFonts w:hint="eastAsia"/>
          <w:sz w:val="24"/>
        </w:rPr>
        <w:t xml:space="preserve"> </w:t>
      </w:r>
      <w:r>
        <w:rPr>
          <w:sz w:val="24"/>
        </w:rPr>
        <w:t xml:space="preserve">The PBC will improve the </w:t>
      </w:r>
      <w:r>
        <w:rPr>
          <w:rFonts w:hint="eastAsia"/>
          <w:sz w:val="24"/>
        </w:rPr>
        <w:t xml:space="preserve">two-pillar </w:t>
      </w:r>
      <w:r>
        <w:rPr>
          <w:sz w:val="24"/>
        </w:rPr>
        <w:t>framework underpinned by the monetary and macro-prudential policies</w:t>
      </w:r>
      <w:r>
        <w:rPr>
          <w:rFonts w:eastAsia="仿宋_GB2312"/>
          <w:sz w:val="24"/>
        </w:rPr>
        <w:t xml:space="preserve">, deepen </w:t>
      </w:r>
      <w:r>
        <w:rPr>
          <w:rFonts w:hint="eastAsia" w:eastAsiaTheme="minorEastAsia"/>
          <w:sz w:val="24"/>
        </w:rPr>
        <w:t xml:space="preserve">the </w:t>
      </w:r>
      <w:r>
        <w:rPr>
          <w:rFonts w:eastAsia="仿宋_GB2312"/>
          <w:sz w:val="24"/>
        </w:rPr>
        <w:t xml:space="preserve">market-based interest rates and reforms of the exchange-rate regime, enhance the </w:t>
      </w:r>
      <w:r>
        <w:rPr>
          <w:rFonts w:hint="eastAsia" w:eastAsiaTheme="minorEastAsia"/>
          <w:sz w:val="24"/>
        </w:rPr>
        <w:t>conduct of monetary policy through</w:t>
      </w:r>
      <w:r>
        <w:rPr>
          <w:rFonts w:eastAsia="仿宋_GB2312"/>
          <w:sz w:val="24"/>
        </w:rPr>
        <w:t xml:space="preserve"> interest-</w:t>
      </w:r>
      <w:r>
        <w:rPr>
          <w:rFonts w:hint="eastAsia" w:eastAsiaTheme="minorEastAsia"/>
          <w:sz w:val="24"/>
        </w:rPr>
        <w:t>rate instruments</w:t>
      </w:r>
      <w:r>
        <w:rPr>
          <w:rFonts w:eastAsia="仿宋_GB2312"/>
          <w:sz w:val="24"/>
        </w:rPr>
        <w:t xml:space="preserve">, </w:t>
      </w:r>
      <w:r>
        <w:rPr>
          <w:rFonts w:hint="eastAsia" w:eastAsiaTheme="minorEastAsia"/>
          <w:sz w:val="24"/>
        </w:rPr>
        <w:t>enhance the role of</w:t>
      </w:r>
      <w:r>
        <w:rPr>
          <w:rFonts w:eastAsia="仿宋_GB2312"/>
          <w:sz w:val="24"/>
        </w:rPr>
        <w:t xml:space="preserve"> the market in determining the exchange rate, and keep the RMB exchange rate basically stable at a reasonable </w:t>
      </w:r>
      <w:r>
        <w:rPr>
          <w:rFonts w:hint="eastAsia" w:eastAsiaTheme="minorEastAsia"/>
          <w:sz w:val="24"/>
        </w:rPr>
        <w:t>and equilibrium</w:t>
      </w:r>
      <w:r>
        <w:rPr>
          <w:rFonts w:eastAsia="仿宋_GB2312"/>
          <w:sz w:val="24"/>
        </w:rPr>
        <w:t xml:space="preserve"> level.</w:t>
      </w:r>
      <w:r>
        <w:rPr>
          <w:rFonts w:hint="eastAsia" w:eastAsiaTheme="minorEastAsia"/>
          <w:sz w:val="24"/>
        </w:rPr>
        <w:t xml:space="preserve"> </w:t>
      </w:r>
      <w:r>
        <w:rPr>
          <w:rFonts w:eastAsiaTheme="minorEastAsia"/>
          <w:sz w:val="24"/>
        </w:rPr>
        <w:t xml:space="preserve">The PBC will steadily promote the reform and </w:t>
      </w:r>
      <w:r>
        <w:rPr>
          <w:kern w:val="0"/>
          <w:sz w:val="24"/>
        </w:rPr>
        <w:t>opening-up of the financial sector, vigorously develop inclusive financing, play a greater role in serving the real economy, support entrepreneurship and innovation, and foster new drivers of growth. Efforts will be made to win the uphill battle of preventing and resolving major financial risks, strengthen macro-prudential management and coordinated financial regulation, and s</w:t>
      </w:r>
      <w:r>
        <w:rPr>
          <w:sz w:val="24"/>
        </w:rPr>
        <w:t xml:space="preserve">afeguard the bottom line of preventing systemic financial risks. </w:t>
      </w:r>
    </w:p>
    <w:p/>
    <w:p/>
    <w:p>
      <w:pPr>
        <w:pStyle w:val="16"/>
        <w:adjustRightInd/>
        <w:snapToGrid/>
        <w:spacing w:line="360" w:lineRule="auto"/>
        <w:jc w:val="both"/>
        <w:rPr>
          <w:color w:val="FF0000"/>
        </w:rPr>
      </w:pPr>
    </w:p>
    <w:p>
      <w:pPr>
        <w:pStyle w:val="16"/>
        <w:adjustRightInd/>
        <w:snapToGrid/>
        <w:spacing w:line="360" w:lineRule="auto"/>
        <w:jc w:val="both"/>
        <w:rPr>
          <w:color w:val="FF0000"/>
        </w:rPr>
      </w:pPr>
    </w:p>
    <w:bookmarkEnd w:id="0"/>
    <w:p>
      <w:pPr>
        <w:pStyle w:val="16"/>
        <w:spacing w:line="360" w:lineRule="auto"/>
        <w:jc w:val="both"/>
        <w:rPr>
          <w:color w:val="FF0000"/>
        </w:rPr>
      </w:pPr>
      <w:bookmarkStart w:id="1" w:name="_Hlt362109244"/>
      <w:bookmarkEnd w:id="1"/>
      <w:bookmarkStart w:id="2" w:name="_Hlt362109312"/>
      <w:bookmarkEnd w:id="2"/>
    </w:p>
    <w:p>
      <w:pPr>
        <w:adjustRightInd w:val="0"/>
        <w:snapToGrid w:val="0"/>
        <w:spacing w:line="360" w:lineRule="auto"/>
        <w:ind w:firstLine="3433" w:firstLineChars="950"/>
        <w:rPr>
          <w:rFonts w:eastAsia="黑体"/>
          <w:b/>
          <w:i/>
          <w:color w:val="000000"/>
          <w:kern w:val="0"/>
          <w:sz w:val="36"/>
        </w:rPr>
      </w:pPr>
      <w:r>
        <w:rPr>
          <w:rFonts w:eastAsia="黑体"/>
          <w:b/>
          <w:i/>
          <w:color w:val="000000"/>
          <w:kern w:val="0"/>
          <w:sz w:val="36"/>
        </w:rPr>
        <w:t>Contents</w:t>
      </w:r>
    </w:p>
    <w:p>
      <w:pPr>
        <w:tabs>
          <w:tab w:val="right" w:leader="dot" w:pos="8296"/>
        </w:tabs>
        <w:spacing w:line="360" w:lineRule="auto"/>
        <w:ind w:left="-15" w:leftChars="-7" w:firstLine="10" w:firstLineChars="5"/>
        <w:rPr>
          <w:rStyle w:val="93"/>
          <w:b/>
          <w:color w:val="auto"/>
          <w:u w:val="none"/>
        </w:rPr>
      </w:pPr>
      <w:r>
        <w:rPr>
          <w:rStyle w:val="93"/>
        </w:rPr>
        <w:fldChar w:fldCharType="begin"/>
      </w:r>
      <w:r>
        <w:rPr>
          <w:rStyle w:val="93"/>
        </w:rPr>
        <w:instrText xml:space="preserve"> TOC \o "1-2" \h \z \u </w:instrText>
      </w:r>
      <w:r>
        <w:rPr>
          <w:rStyle w:val="93"/>
        </w:rPr>
        <w:fldChar w:fldCharType="separate"/>
      </w:r>
      <w:r>
        <w:fldChar w:fldCharType="begin"/>
      </w:r>
      <w:r>
        <w:instrText xml:space="preserve"> HYPERLINK \l "_Toc517190497" </w:instrText>
      </w:r>
      <w:r>
        <w:fldChar w:fldCharType="separate"/>
      </w:r>
      <w:r>
        <w:rPr>
          <w:rStyle w:val="93"/>
          <w:b/>
          <w:color w:val="auto"/>
          <w:u w:val="none"/>
        </w:rPr>
        <w:t>Part 1. Money and Credit Analysis</w:t>
      </w:r>
      <w:r>
        <w:rPr>
          <w:rStyle w:val="93"/>
          <w:b/>
          <w:color w:val="auto"/>
          <w:u w:val="none"/>
        </w:rPr>
        <w:tab/>
      </w:r>
      <w:r>
        <w:rPr>
          <w:rStyle w:val="93"/>
          <w:b/>
          <w:color w:val="auto"/>
          <w:u w:val="none"/>
        </w:rPr>
        <w:fldChar w:fldCharType="begin"/>
      </w:r>
      <w:r>
        <w:rPr>
          <w:rStyle w:val="93"/>
          <w:b/>
          <w:color w:val="auto"/>
          <w:u w:val="none"/>
        </w:rPr>
        <w:instrText xml:space="preserve"> PAGEREF _Toc517190497 \h </w:instrText>
      </w:r>
      <w:r>
        <w:rPr>
          <w:rStyle w:val="93"/>
          <w:b/>
          <w:color w:val="auto"/>
          <w:u w:val="none"/>
        </w:rPr>
        <w:fldChar w:fldCharType="separate"/>
      </w:r>
      <w:r>
        <w:rPr>
          <w:rStyle w:val="93"/>
          <w:rFonts w:hint="eastAsia"/>
          <w:b/>
          <w:color w:val="auto"/>
          <w:u w:val="none"/>
        </w:rPr>
        <w:t>１</w:t>
      </w:r>
      <w:r>
        <w:rPr>
          <w:rStyle w:val="93"/>
          <w:b/>
          <w:color w:val="auto"/>
          <w:u w:val="none"/>
        </w:rPr>
        <w:fldChar w:fldCharType="end"/>
      </w:r>
      <w:r>
        <w:rPr>
          <w:rStyle w:val="93"/>
          <w:b/>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"_Toc517190498" </w:instrText>
      </w:r>
      <w:r>
        <w:fldChar w:fldCharType="separate"/>
      </w:r>
      <w:r>
        <w:rPr>
          <w:rStyle w:val="93"/>
          <w:color w:val="auto"/>
          <w:u w:val="none"/>
        </w:rPr>
        <w:t>I. Monetary aggregates grew steadily</w:t>
      </w:r>
      <w:r>
        <w:rPr>
          <w:rStyle w:val="93"/>
          <w:color w:val="auto"/>
          <w:u w:val="none"/>
        </w:rPr>
        <w:tab/>
      </w:r>
      <w:r>
        <w:rPr>
          <w:rStyle w:val="93"/>
          <w:color w:val="auto"/>
          <w:u w:val="none"/>
        </w:rPr>
        <w:fldChar w:fldCharType="begin"/>
      </w:r>
      <w:r>
        <w:rPr>
          <w:rStyle w:val="93"/>
          <w:color w:val="auto"/>
          <w:u w:val="none"/>
        </w:rPr>
        <w:instrText xml:space="preserve"> PAGEREF _Toc517190498 \h </w:instrText>
      </w:r>
      <w:r>
        <w:rPr>
          <w:rStyle w:val="93"/>
          <w:color w:val="auto"/>
          <w:u w:val="none"/>
        </w:rPr>
        <w:fldChar w:fldCharType="separate"/>
      </w:r>
      <w:r>
        <w:rPr>
          <w:rStyle w:val="93"/>
          <w:rFonts w:hint="eastAsia"/>
          <w:color w:val="auto"/>
          <w:u w:val="none"/>
        </w:rPr>
        <w:t>１</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"_Toc517190499" </w:instrText>
      </w:r>
      <w:r>
        <w:fldChar w:fldCharType="separate"/>
      </w:r>
      <w:r>
        <w:rPr>
          <w:rStyle w:val="93"/>
          <w:color w:val="auto"/>
          <w:u w:val="none"/>
        </w:rPr>
        <w:t>II. The share of RMB term deposits in financial institutions increased</w:t>
      </w:r>
      <w:r>
        <w:rPr>
          <w:rStyle w:val="93"/>
          <w:color w:val="auto"/>
          <w:u w:val="none"/>
        </w:rPr>
        <w:tab/>
      </w:r>
      <w:r>
        <w:rPr>
          <w:rStyle w:val="93"/>
          <w:color w:val="auto"/>
          <w:u w:val="none"/>
        </w:rPr>
        <w:fldChar w:fldCharType="begin"/>
      </w:r>
      <w:r>
        <w:rPr>
          <w:rStyle w:val="93"/>
          <w:color w:val="auto"/>
          <w:u w:val="none"/>
        </w:rPr>
        <w:instrText xml:space="preserve"> PAGEREF _Toc517190499 \h </w:instrText>
      </w:r>
      <w:r>
        <w:rPr>
          <w:rStyle w:val="93"/>
          <w:color w:val="auto"/>
          <w:u w:val="none"/>
        </w:rPr>
        <w:fldChar w:fldCharType="separate"/>
      </w:r>
      <w:r>
        <w:rPr>
          <w:rStyle w:val="93"/>
          <w:rFonts w:hint="eastAsia"/>
          <w:color w:val="auto"/>
          <w:u w:val="none"/>
        </w:rPr>
        <w:t>２</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"_Toc517190500" </w:instrText>
      </w:r>
      <w:r>
        <w:fldChar w:fldCharType="separate"/>
      </w:r>
      <w:r>
        <w:rPr>
          <w:rStyle w:val="93"/>
          <w:color w:val="auto"/>
          <w:u w:val="none"/>
        </w:rPr>
        <w:t>III. Lending by financial institutions grew rapidly</w:t>
      </w:r>
      <w:r>
        <w:rPr>
          <w:rStyle w:val="93"/>
          <w:color w:val="auto"/>
          <w:u w:val="none"/>
        </w:rPr>
        <w:tab/>
      </w:r>
      <w:r>
        <w:rPr>
          <w:rStyle w:val="93"/>
          <w:color w:val="auto"/>
          <w:u w:val="none"/>
        </w:rPr>
        <w:fldChar w:fldCharType="begin"/>
      </w:r>
      <w:r>
        <w:rPr>
          <w:rStyle w:val="93"/>
          <w:color w:val="auto"/>
          <w:u w:val="none"/>
        </w:rPr>
        <w:instrText xml:space="preserve"> PAGEREF _Toc517190500 \h </w:instrText>
      </w:r>
      <w:r>
        <w:rPr>
          <w:rStyle w:val="93"/>
          <w:color w:val="auto"/>
          <w:u w:val="none"/>
        </w:rPr>
        <w:fldChar w:fldCharType="separate"/>
      </w:r>
      <w:r>
        <w:rPr>
          <w:rStyle w:val="93"/>
          <w:rFonts w:hint="eastAsia"/>
          <w:color w:val="auto"/>
          <w:u w:val="none"/>
        </w:rPr>
        <w:t>３</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"_Toc517190501" </w:instrText>
      </w:r>
      <w:r>
        <w:fldChar w:fldCharType="separate"/>
      </w:r>
      <w:r>
        <w:rPr>
          <w:rStyle w:val="93"/>
          <w:color w:val="auto"/>
          <w:u w:val="none"/>
        </w:rPr>
        <w:t>IV. All-system Financing Aggregates Grew at a Reasonable Pace</w:t>
      </w:r>
      <w:r>
        <w:rPr>
          <w:rStyle w:val="93"/>
          <w:color w:val="auto"/>
          <w:u w:val="none"/>
        </w:rPr>
        <w:tab/>
      </w:r>
      <w:r>
        <w:rPr>
          <w:rStyle w:val="93"/>
          <w:color w:val="auto"/>
          <w:u w:val="none"/>
        </w:rPr>
        <w:fldChar w:fldCharType="begin"/>
      </w:r>
      <w:r>
        <w:rPr>
          <w:rStyle w:val="93"/>
          <w:color w:val="auto"/>
          <w:u w:val="none"/>
        </w:rPr>
        <w:instrText xml:space="preserve"> PAGEREF _Toc517190501 \h </w:instrText>
      </w:r>
      <w:r>
        <w:rPr>
          <w:rStyle w:val="93"/>
          <w:color w:val="auto"/>
          <w:u w:val="none"/>
        </w:rPr>
        <w:fldChar w:fldCharType="separate"/>
      </w:r>
      <w:r>
        <w:rPr>
          <w:rStyle w:val="93"/>
          <w:rFonts w:hint="eastAsia"/>
          <w:color w:val="auto"/>
          <w:u w:val="none"/>
        </w:rPr>
        <w:t>５</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"_Toc517190502" </w:instrText>
      </w:r>
      <w:r>
        <w:fldChar w:fldCharType="separate"/>
      </w:r>
      <w:r>
        <w:rPr>
          <w:rStyle w:val="93"/>
          <w:color w:val="auto"/>
          <w:u w:val="none"/>
        </w:rPr>
        <w:t>V. Interest rates on loans offered by financial institutions stabilized and rose moderately</w:t>
      </w:r>
      <w:r>
        <w:rPr>
          <w:rStyle w:val="93"/>
          <w:color w:val="auto"/>
          <w:u w:val="none"/>
        </w:rPr>
        <w:tab/>
      </w:r>
      <w:r>
        <w:rPr>
          <w:rStyle w:val="93"/>
          <w:color w:val="auto"/>
          <w:u w:val="none"/>
        </w:rPr>
        <w:fldChar w:fldCharType="begin"/>
      </w:r>
      <w:r>
        <w:rPr>
          <w:rStyle w:val="93"/>
          <w:color w:val="auto"/>
          <w:u w:val="none"/>
        </w:rPr>
        <w:instrText xml:space="preserve"> PAGEREF _Toc517190502 \h </w:instrText>
      </w:r>
      <w:r>
        <w:rPr>
          <w:rStyle w:val="93"/>
          <w:color w:val="auto"/>
          <w:u w:val="none"/>
        </w:rPr>
        <w:fldChar w:fldCharType="separate"/>
      </w:r>
      <w:r>
        <w:rPr>
          <w:rStyle w:val="93"/>
          <w:rFonts w:hint="eastAsia"/>
          <w:color w:val="auto"/>
          <w:u w:val="none"/>
        </w:rPr>
        <w:t>７</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"_Toc517190503" </w:instrText>
      </w:r>
      <w:r>
        <w:fldChar w:fldCharType="separate"/>
      </w:r>
      <w:r>
        <w:rPr>
          <w:rStyle w:val="93"/>
          <w:color w:val="auto"/>
          <w:u w:val="none"/>
        </w:rPr>
        <w:t>VI. The RMB exchange rate was more flexible in terms of two-way fluctuations.</w:t>
      </w:r>
      <w:r>
        <w:rPr>
          <w:rStyle w:val="93"/>
          <w:color w:val="auto"/>
          <w:u w:val="none"/>
        </w:rPr>
        <w:tab/>
      </w:r>
      <w:r>
        <w:rPr>
          <w:rStyle w:val="93"/>
          <w:color w:val="auto"/>
          <w:u w:val="none"/>
        </w:rPr>
        <w:fldChar w:fldCharType="begin"/>
      </w:r>
      <w:r>
        <w:rPr>
          <w:rStyle w:val="93"/>
          <w:color w:val="auto"/>
          <w:u w:val="none"/>
        </w:rPr>
        <w:instrText xml:space="preserve"> PAGEREF _Toc517190503 \h </w:instrText>
      </w:r>
      <w:r>
        <w:rPr>
          <w:rStyle w:val="93"/>
          <w:color w:val="auto"/>
          <w:u w:val="none"/>
        </w:rPr>
        <w:fldChar w:fldCharType="separate"/>
      </w:r>
      <w:r>
        <w:rPr>
          <w:rStyle w:val="93"/>
          <w:rFonts w:hint="eastAsia"/>
          <w:color w:val="auto"/>
          <w:u w:val="none"/>
        </w:rPr>
        <w:t>８</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"_Toc517190504" </w:instrText>
      </w:r>
      <w:r>
        <w:fldChar w:fldCharType="separate"/>
      </w:r>
      <w:r>
        <w:rPr>
          <w:rStyle w:val="93"/>
          <w:color w:val="auto"/>
          <w:u w:val="none"/>
        </w:rPr>
        <w:t>VII. Cross-border RMB businesses saw stable development</w:t>
      </w:r>
      <w:r>
        <w:rPr>
          <w:rStyle w:val="93"/>
          <w:color w:val="auto"/>
          <w:u w:val="none"/>
        </w:rPr>
        <w:tab/>
      </w:r>
      <w:r>
        <w:rPr>
          <w:rStyle w:val="93"/>
          <w:color w:val="auto"/>
          <w:u w:val="none"/>
        </w:rPr>
        <w:fldChar w:fldCharType="begin"/>
      </w:r>
      <w:r>
        <w:rPr>
          <w:rStyle w:val="93"/>
          <w:color w:val="auto"/>
          <w:u w:val="none"/>
        </w:rPr>
        <w:instrText xml:space="preserve"> PAGEREF _Toc517190504 \h </w:instrText>
      </w:r>
      <w:r>
        <w:rPr>
          <w:rStyle w:val="93"/>
          <w:color w:val="auto"/>
          <w:u w:val="none"/>
        </w:rPr>
        <w:fldChar w:fldCharType="separate"/>
      </w:r>
      <w:r>
        <w:rPr>
          <w:rStyle w:val="93"/>
          <w:rFonts w:hint="eastAsia"/>
          <w:color w:val="auto"/>
          <w:u w:val="none"/>
        </w:rPr>
        <w:t>９</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b/>
          <w:color w:val="auto"/>
          <w:u w:val="none"/>
        </w:rPr>
      </w:pPr>
      <w:r>
        <w:fldChar w:fldCharType="begin"/>
      </w:r>
      <w:r>
        <w:instrText xml:space="preserve"> HYPERLINK \l "_Toc517190505" </w:instrText>
      </w:r>
      <w:r>
        <w:fldChar w:fldCharType="separate"/>
      </w:r>
      <w:r>
        <w:rPr>
          <w:rStyle w:val="93"/>
          <w:b/>
          <w:color w:val="auto"/>
          <w:u w:val="none"/>
        </w:rPr>
        <w:t>Part 2. Monetary Policy Operations</w:t>
      </w:r>
      <w:r>
        <w:rPr>
          <w:rStyle w:val="93"/>
          <w:b/>
          <w:color w:val="auto"/>
          <w:u w:val="none"/>
        </w:rPr>
        <w:tab/>
      </w:r>
      <w:r>
        <w:rPr>
          <w:rStyle w:val="93"/>
          <w:b/>
          <w:color w:val="auto"/>
          <w:u w:val="none"/>
        </w:rPr>
        <w:fldChar w:fldCharType="begin"/>
      </w:r>
      <w:r>
        <w:rPr>
          <w:rStyle w:val="93"/>
          <w:b/>
          <w:color w:val="auto"/>
          <w:u w:val="none"/>
        </w:rPr>
        <w:instrText xml:space="preserve"> PAGEREF _Toc517190505 \h </w:instrText>
      </w:r>
      <w:r>
        <w:rPr>
          <w:rStyle w:val="93"/>
          <w:b/>
          <w:color w:val="auto"/>
          <w:u w:val="none"/>
        </w:rPr>
        <w:fldChar w:fldCharType="separate"/>
      </w:r>
      <w:r>
        <w:rPr>
          <w:rStyle w:val="93"/>
          <w:rFonts w:hint="eastAsia"/>
          <w:b/>
          <w:color w:val="auto"/>
          <w:u w:val="none"/>
        </w:rPr>
        <w:t>１２</w:t>
      </w:r>
      <w:r>
        <w:rPr>
          <w:rStyle w:val="93"/>
          <w:b/>
          <w:color w:val="auto"/>
          <w:u w:val="none"/>
        </w:rPr>
        <w:fldChar w:fldCharType="end"/>
      </w:r>
      <w:r>
        <w:rPr>
          <w:rStyle w:val="93"/>
          <w:b/>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"_Toc517190506" </w:instrText>
      </w:r>
      <w:r>
        <w:fldChar w:fldCharType="separate"/>
      </w:r>
      <w:r>
        <w:rPr>
          <w:rStyle w:val="93"/>
          <w:color w:val="auto"/>
          <w:u w:val="none"/>
        </w:rPr>
        <w:t>I. Conducting Open Market Operations (OMOs) in a Flexible Manner</w:t>
      </w:r>
      <w:r>
        <w:rPr>
          <w:rStyle w:val="93"/>
          <w:color w:val="auto"/>
          <w:u w:val="none"/>
        </w:rPr>
        <w:tab/>
      </w:r>
      <w:r>
        <w:rPr>
          <w:rStyle w:val="93"/>
          <w:color w:val="auto"/>
          <w:u w:val="none"/>
        </w:rPr>
        <w:fldChar w:fldCharType="begin"/>
      </w:r>
      <w:r>
        <w:rPr>
          <w:rStyle w:val="93"/>
          <w:color w:val="auto"/>
          <w:u w:val="none"/>
        </w:rPr>
        <w:instrText xml:space="preserve"> PAGEREF _Toc517190506 \h </w:instrText>
      </w:r>
      <w:r>
        <w:rPr>
          <w:rStyle w:val="93"/>
          <w:color w:val="auto"/>
          <w:u w:val="none"/>
        </w:rPr>
        <w:fldChar w:fldCharType="separate"/>
      </w:r>
      <w:r>
        <w:rPr>
          <w:rStyle w:val="93"/>
          <w:rFonts w:hint="eastAsia"/>
          <w:color w:val="auto"/>
          <w:u w:val="none"/>
        </w:rPr>
        <w:t>１２</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"_Toc517190507" </w:instrText>
      </w:r>
      <w:r>
        <w:fldChar w:fldCharType="separate"/>
      </w:r>
      <w:r>
        <w:rPr>
          <w:rStyle w:val="93"/>
          <w:color w:val="auto"/>
          <w:u w:val="none"/>
        </w:rPr>
        <w:t>II. Conducting Standing Lending Facility (SLF) and MLF Operations</w:t>
      </w:r>
      <w:r>
        <w:rPr>
          <w:rStyle w:val="93"/>
          <w:color w:val="auto"/>
          <w:u w:val="none"/>
        </w:rPr>
        <w:tab/>
      </w:r>
      <w:r>
        <w:rPr>
          <w:rStyle w:val="93"/>
          <w:color w:val="auto"/>
          <w:u w:val="none"/>
        </w:rPr>
        <w:fldChar w:fldCharType="begin"/>
      </w:r>
      <w:r>
        <w:rPr>
          <w:rStyle w:val="93"/>
          <w:color w:val="auto"/>
          <w:u w:val="none"/>
        </w:rPr>
        <w:instrText xml:space="preserve"> PAGEREF _Toc517190507 \h </w:instrText>
      </w:r>
      <w:r>
        <w:rPr>
          <w:rStyle w:val="93"/>
          <w:color w:val="auto"/>
          <w:u w:val="none"/>
        </w:rPr>
        <w:fldChar w:fldCharType="separate"/>
      </w:r>
      <w:r>
        <w:rPr>
          <w:rStyle w:val="93"/>
          <w:rFonts w:hint="eastAsia"/>
          <w:color w:val="auto"/>
          <w:u w:val="none"/>
        </w:rPr>
        <w:t>１６</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"_Toc517190508" </w:instrText>
      </w:r>
      <w:r>
        <w:fldChar w:fldCharType="separate"/>
      </w:r>
      <w:r>
        <w:rPr>
          <w:rStyle w:val="93"/>
          <w:color w:val="auto"/>
          <w:u w:val="none"/>
        </w:rPr>
        <w:t>III. Using Tools for Managing Reserves in a Flexible Manner</w:t>
      </w:r>
      <w:r>
        <w:rPr>
          <w:rStyle w:val="93"/>
          <w:color w:val="auto"/>
          <w:u w:val="none"/>
        </w:rPr>
        <w:tab/>
      </w:r>
      <w:r>
        <w:rPr>
          <w:rStyle w:val="93"/>
          <w:color w:val="auto"/>
          <w:u w:val="none"/>
        </w:rPr>
        <w:fldChar w:fldCharType="begin"/>
      </w:r>
      <w:r>
        <w:rPr>
          <w:rStyle w:val="93"/>
          <w:color w:val="auto"/>
          <w:u w:val="none"/>
        </w:rPr>
        <w:instrText xml:space="preserve"> PAGEREF _Toc517190508 \h </w:instrText>
      </w:r>
      <w:r>
        <w:rPr>
          <w:rStyle w:val="93"/>
          <w:color w:val="auto"/>
          <w:u w:val="none"/>
        </w:rPr>
        <w:fldChar w:fldCharType="separate"/>
      </w:r>
      <w:r>
        <w:rPr>
          <w:rStyle w:val="93"/>
          <w:rFonts w:hint="eastAsia"/>
          <w:color w:val="auto"/>
          <w:u w:val="none"/>
        </w:rPr>
        <w:t>１７</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"_Toc517190509" </w:instrText>
      </w:r>
      <w:r>
        <w:fldChar w:fldCharType="separate"/>
      </w:r>
      <w:r>
        <w:rPr>
          <w:rStyle w:val="93"/>
          <w:color w:val="auto"/>
          <w:u w:val="none"/>
        </w:rPr>
        <w:t>IV. Further Improving the Framework for Macro-Prudential Policies</w:t>
      </w:r>
      <w:r>
        <w:rPr>
          <w:rStyle w:val="93"/>
          <w:color w:val="auto"/>
          <w:u w:val="none"/>
        </w:rPr>
        <w:tab/>
      </w:r>
      <w:r>
        <w:rPr>
          <w:rStyle w:val="93"/>
          <w:color w:val="auto"/>
          <w:u w:val="none"/>
        </w:rPr>
        <w:fldChar w:fldCharType="begin"/>
      </w:r>
      <w:r>
        <w:rPr>
          <w:rStyle w:val="93"/>
          <w:color w:val="auto"/>
          <w:u w:val="none"/>
        </w:rPr>
        <w:instrText xml:space="preserve"> PAGEREF _Toc517190509 \h </w:instrText>
      </w:r>
      <w:r>
        <w:rPr>
          <w:rStyle w:val="93"/>
          <w:color w:val="auto"/>
          <w:u w:val="none"/>
        </w:rPr>
        <w:fldChar w:fldCharType="separate"/>
      </w:r>
      <w:r>
        <w:rPr>
          <w:rStyle w:val="93"/>
          <w:rFonts w:hint="eastAsia"/>
          <w:color w:val="auto"/>
          <w:u w:val="none"/>
        </w:rPr>
        <w:t>１８</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"_Toc517190510" </w:instrText>
      </w:r>
      <w:r>
        <w:fldChar w:fldCharType="separate"/>
      </w:r>
      <w:r>
        <w:rPr>
          <w:rStyle w:val="93"/>
          <w:color w:val="auto"/>
          <w:u w:val="none"/>
        </w:rPr>
        <w:t>V. Stronger Credit Support to Key Areas and Weak Sectors in the Economy</w:t>
      </w:r>
      <w:r>
        <w:rPr>
          <w:rStyle w:val="93"/>
          <w:color w:val="auto"/>
          <w:u w:val="none"/>
        </w:rPr>
        <w:tab/>
      </w:r>
      <w:r>
        <w:rPr>
          <w:rStyle w:val="93"/>
          <w:color w:val="auto"/>
          <w:u w:val="none"/>
        </w:rPr>
        <w:fldChar w:fldCharType="begin"/>
      </w:r>
      <w:r>
        <w:rPr>
          <w:rStyle w:val="93"/>
          <w:color w:val="auto"/>
          <w:u w:val="none"/>
        </w:rPr>
        <w:instrText xml:space="preserve"> PAGEREF _Toc517190510 \h </w:instrText>
      </w:r>
      <w:r>
        <w:rPr>
          <w:rStyle w:val="93"/>
          <w:color w:val="auto"/>
          <w:u w:val="none"/>
        </w:rPr>
        <w:fldChar w:fldCharType="separate"/>
      </w:r>
      <w:r>
        <w:rPr>
          <w:rStyle w:val="93"/>
          <w:rFonts w:hint="eastAsia"/>
          <w:color w:val="auto"/>
          <w:u w:val="none"/>
        </w:rPr>
        <w:t>１８</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"_Toc517190511" </w:instrText>
      </w:r>
      <w:r>
        <w:fldChar w:fldCharType="separate"/>
      </w:r>
      <w:r>
        <w:rPr>
          <w:rStyle w:val="93"/>
          <w:color w:val="auto"/>
          <w:u w:val="none"/>
        </w:rPr>
        <w:t>VI. Window Guidance and Credit Policies for Structural Guidance</w:t>
      </w:r>
      <w:r>
        <w:rPr>
          <w:rStyle w:val="93"/>
          <w:color w:val="auto"/>
          <w:u w:val="none"/>
        </w:rPr>
        <w:tab/>
      </w:r>
      <w:r>
        <w:rPr>
          <w:rStyle w:val="93"/>
          <w:color w:val="auto"/>
          <w:u w:val="none"/>
        </w:rPr>
        <w:fldChar w:fldCharType="begin"/>
      </w:r>
      <w:r>
        <w:rPr>
          <w:rStyle w:val="93"/>
          <w:color w:val="auto"/>
          <w:u w:val="none"/>
        </w:rPr>
        <w:instrText xml:space="preserve"> PAGEREF _Toc517190511 \h </w:instrText>
      </w:r>
      <w:r>
        <w:rPr>
          <w:rStyle w:val="93"/>
          <w:color w:val="auto"/>
          <w:u w:val="none"/>
        </w:rPr>
        <w:fldChar w:fldCharType="separate"/>
      </w:r>
      <w:r>
        <w:rPr>
          <w:rStyle w:val="93"/>
          <w:rFonts w:hint="eastAsia"/>
          <w:color w:val="auto"/>
          <w:u w:val="none"/>
        </w:rPr>
        <w:t>１８</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"_Toc517190512" </w:instrText>
      </w:r>
      <w:r>
        <w:fldChar w:fldCharType="separate"/>
      </w:r>
      <w:r>
        <w:rPr>
          <w:rStyle w:val="93"/>
          <w:color w:val="auto"/>
          <w:u w:val="none"/>
        </w:rPr>
        <w:t>VII. Improving the Market-based RMB Exchange-Rate Regime</w:t>
      </w:r>
      <w:r>
        <w:rPr>
          <w:rStyle w:val="93"/>
          <w:color w:val="auto"/>
          <w:u w:val="none"/>
        </w:rPr>
        <w:tab/>
      </w:r>
      <w:r>
        <w:rPr>
          <w:rStyle w:val="93"/>
          <w:color w:val="auto"/>
          <w:u w:val="none"/>
        </w:rPr>
        <w:fldChar w:fldCharType="begin"/>
      </w:r>
      <w:r>
        <w:rPr>
          <w:rStyle w:val="93"/>
          <w:color w:val="auto"/>
          <w:u w:val="none"/>
        </w:rPr>
        <w:instrText xml:space="preserve"> PAGEREF _Toc517190512 \h </w:instrText>
      </w:r>
      <w:r>
        <w:rPr>
          <w:rStyle w:val="93"/>
          <w:color w:val="auto"/>
          <w:u w:val="none"/>
        </w:rPr>
        <w:fldChar w:fldCharType="separate"/>
      </w:r>
      <w:r>
        <w:rPr>
          <w:rStyle w:val="93"/>
          <w:rFonts w:hint="eastAsia"/>
          <w:color w:val="auto"/>
          <w:u w:val="none"/>
        </w:rPr>
        <w:t>２０</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"_Toc517190513" </w:instrText>
      </w:r>
      <w:r>
        <w:fldChar w:fldCharType="separate"/>
      </w:r>
      <w:r>
        <w:rPr>
          <w:rStyle w:val="93"/>
          <w:color w:val="auto"/>
          <w:u w:val="none"/>
        </w:rPr>
        <w:t>VIII. Deepening the Reform of Financial Institutions</w:t>
      </w:r>
      <w:r>
        <w:rPr>
          <w:rStyle w:val="93"/>
          <w:color w:val="auto"/>
          <w:u w:val="none"/>
        </w:rPr>
        <w:tab/>
      </w:r>
      <w:r>
        <w:rPr>
          <w:rStyle w:val="93"/>
          <w:color w:val="auto"/>
          <w:u w:val="none"/>
        </w:rPr>
        <w:fldChar w:fldCharType="begin"/>
      </w:r>
      <w:r>
        <w:rPr>
          <w:rStyle w:val="93"/>
          <w:color w:val="auto"/>
          <w:u w:val="none"/>
        </w:rPr>
        <w:instrText xml:space="preserve"> PAGEREF _Toc517190513 \h </w:instrText>
      </w:r>
      <w:r>
        <w:rPr>
          <w:rStyle w:val="93"/>
          <w:color w:val="auto"/>
          <w:u w:val="none"/>
        </w:rPr>
        <w:fldChar w:fldCharType="separate"/>
      </w:r>
      <w:r>
        <w:rPr>
          <w:rStyle w:val="93"/>
          <w:rFonts w:hint="eastAsia"/>
          <w:color w:val="auto"/>
          <w:u w:val="none"/>
        </w:rPr>
        <w:t>２１</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"_Toc517190514" </w:instrText>
      </w:r>
      <w:r>
        <w:fldChar w:fldCharType="separate"/>
      </w:r>
      <w:r>
        <w:rPr>
          <w:rStyle w:val="93"/>
          <w:color w:val="auto"/>
          <w:u w:val="none"/>
        </w:rPr>
        <w:t>IX. Deepening Reform of the Foreign-Exchange Administration</w:t>
      </w:r>
      <w:r>
        <w:rPr>
          <w:rStyle w:val="93"/>
          <w:color w:val="auto"/>
          <w:u w:val="none"/>
        </w:rPr>
        <w:tab/>
      </w:r>
      <w:r>
        <w:rPr>
          <w:rStyle w:val="93"/>
          <w:color w:val="auto"/>
          <w:u w:val="none"/>
        </w:rPr>
        <w:fldChar w:fldCharType="begin"/>
      </w:r>
      <w:r>
        <w:rPr>
          <w:rStyle w:val="93"/>
          <w:color w:val="auto"/>
          <w:u w:val="none"/>
        </w:rPr>
        <w:instrText xml:space="preserve"> PAGEREF _Toc517190514 \h </w:instrText>
      </w:r>
      <w:r>
        <w:rPr>
          <w:rStyle w:val="93"/>
          <w:color w:val="auto"/>
          <w:u w:val="none"/>
        </w:rPr>
        <w:fldChar w:fldCharType="separate"/>
      </w:r>
      <w:r>
        <w:rPr>
          <w:rStyle w:val="93"/>
          <w:rFonts w:hint="eastAsia"/>
          <w:color w:val="auto"/>
          <w:u w:val="none"/>
        </w:rPr>
        <w:t>２１</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b/>
          <w:color w:val="auto"/>
          <w:u w:val="none"/>
        </w:rPr>
      </w:pPr>
      <w:r>
        <w:fldChar w:fldCharType="begin"/>
      </w:r>
      <w:r>
        <w:instrText xml:space="preserve"> HYPERLINK \l "_Toc517190515" </w:instrText>
      </w:r>
      <w:r>
        <w:fldChar w:fldCharType="separate"/>
      </w:r>
      <w:r>
        <w:rPr>
          <w:rStyle w:val="93"/>
          <w:b/>
          <w:color w:val="auto"/>
          <w:u w:val="none"/>
        </w:rPr>
        <w:t>Part 3 Financial Market Analysis</w:t>
      </w:r>
      <w:r>
        <w:rPr>
          <w:rStyle w:val="93"/>
          <w:b/>
          <w:color w:val="auto"/>
          <w:u w:val="none"/>
        </w:rPr>
        <w:tab/>
      </w:r>
      <w:r>
        <w:rPr>
          <w:rStyle w:val="93"/>
          <w:b/>
          <w:color w:val="auto"/>
          <w:u w:val="none"/>
        </w:rPr>
        <w:fldChar w:fldCharType="begin"/>
      </w:r>
      <w:r>
        <w:rPr>
          <w:rStyle w:val="93"/>
          <w:b/>
          <w:color w:val="auto"/>
          <w:u w:val="none"/>
        </w:rPr>
        <w:instrText xml:space="preserve"> PAGEREF _Toc517190515 \h </w:instrText>
      </w:r>
      <w:r>
        <w:rPr>
          <w:rStyle w:val="93"/>
          <w:b/>
          <w:color w:val="auto"/>
          <w:u w:val="none"/>
        </w:rPr>
        <w:fldChar w:fldCharType="separate"/>
      </w:r>
      <w:r>
        <w:rPr>
          <w:rStyle w:val="93"/>
          <w:rFonts w:hint="eastAsia"/>
          <w:b/>
          <w:color w:val="auto"/>
          <w:u w:val="none"/>
        </w:rPr>
        <w:t>２２</w:t>
      </w:r>
      <w:r>
        <w:rPr>
          <w:rStyle w:val="93"/>
          <w:b/>
          <w:color w:val="auto"/>
          <w:u w:val="none"/>
        </w:rPr>
        <w:fldChar w:fldCharType="end"/>
      </w:r>
      <w:r>
        <w:rPr>
          <w:rStyle w:val="93"/>
          <w:b/>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"_Toc517190516" </w:instrText>
      </w:r>
      <w:r>
        <w:fldChar w:fldCharType="separate"/>
      </w:r>
      <w:r>
        <w:rPr>
          <w:rStyle w:val="93"/>
          <w:color w:val="auto"/>
          <w:u w:val="none"/>
        </w:rPr>
        <w:t>I. Financial market analysis</w:t>
      </w:r>
      <w:r>
        <w:rPr>
          <w:rStyle w:val="93"/>
          <w:color w:val="auto"/>
          <w:u w:val="none"/>
        </w:rPr>
        <w:tab/>
      </w:r>
      <w:r>
        <w:rPr>
          <w:rStyle w:val="93"/>
          <w:color w:val="auto"/>
          <w:u w:val="none"/>
        </w:rPr>
        <w:fldChar w:fldCharType="begin"/>
      </w:r>
      <w:r>
        <w:rPr>
          <w:rStyle w:val="93"/>
          <w:color w:val="auto"/>
          <w:u w:val="none"/>
        </w:rPr>
        <w:instrText xml:space="preserve"> PAGEREF _Toc517190516 \h </w:instrText>
      </w:r>
      <w:r>
        <w:rPr>
          <w:rStyle w:val="93"/>
          <w:color w:val="auto"/>
          <w:u w:val="none"/>
        </w:rPr>
        <w:fldChar w:fldCharType="separate"/>
      </w:r>
      <w:r>
        <w:rPr>
          <w:rStyle w:val="93"/>
          <w:rFonts w:hint="eastAsia"/>
          <w:color w:val="auto"/>
          <w:u w:val="none"/>
        </w:rPr>
        <w:t>２２</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"_Toc517190517" </w:instrText>
      </w:r>
      <w:r>
        <w:fldChar w:fldCharType="separate"/>
      </w:r>
      <w:r>
        <w:rPr>
          <w:rStyle w:val="93"/>
          <w:color w:val="auto"/>
          <w:u w:val="none"/>
        </w:rPr>
        <w:t>II. Progress in Financial-Market Institutional Arrangements</w:t>
      </w:r>
      <w:r>
        <w:rPr>
          <w:rStyle w:val="93"/>
          <w:color w:val="auto"/>
          <w:u w:val="none"/>
        </w:rPr>
        <w:tab/>
      </w:r>
      <w:r>
        <w:rPr>
          <w:rStyle w:val="93"/>
          <w:color w:val="auto"/>
          <w:u w:val="none"/>
        </w:rPr>
        <w:fldChar w:fldCharType="begin"/>
      </w:r>
      <w:r>
        <w:rPr>
          <w:rStyle w:val="93"/>
          <w:color w:val="auto"/>
          <w:u w:val="none"/>
        </w:rPr>
        <w:instrText xml:space="preserve"> PAGEREF _Toc517190517 \h </w:instrText>
      </w:r>
      <w:r>
        <w:rPr>
          <w:rStyle w:val="93"/>
          <w:color w:val="auto"/>
          <w:u w:val="none"/>
        </w:rPr>
        <w:fldChar w:fldCharType="separate"/>
      </w:r>
      <w:r>
        <w:rPr>
          <w:rStyle w:val="93"/>
          <w:rFonts w:hint="eastAsia"/>
          <w:color w:val="auto"/>
          <w:u w:val="none"/>
        </w:rPr>
        <w:t>３１</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b/>
          <w:color w:val="auto"/>
          <w:u w:val="none"/>
        </w:rPr>
      </w:pPr>
      <w:r>
        <w:fldChar w:fldCharType="begin"/>
      </w:r>
      <w:r>
        <w:instrText xml:space="preserve"> HYPERLINK \l "_Toc517190518" </w:instrText>
      </w:r>
      <w:r>
        <w:fldChar w:fldCharType="separate"/>
      </w:r>
      <w:r>
        <w:rPr>
          <w:rStyle w:val="93"/>
          <w:b/>
          <w:color w:val="auto"/>
          <w:u w:val="none"/>
        </w:rPr>
        <w:t>Part 4.  Macro-economic Overview</w:t>
      </w:r>
      <w:r>
        <w:rPr>
          <w:rStyle w:val="93"/>
          <w:b/>
          <w:color w:val="auto"/>
          <w:u w:val="none"/>
        </w:rPr>
        <w:tab/>
      </w:r>
      <w:r>
        <w:rPr>
          <w:rStyle w:val="93"/>
          <w:b/>
          <w:color w:val="auto"/>
          <w:u w:val="none"/>
        </w:rPr>
        <w:fldChar w:fldCharType="begin"/>
      </w:r>
      <w:r>
        <w:rPr>
          <w:rStyle w:val="93"/>
          <w:b/>
          <w:color w:val="auto"/>
          <w:u w:val="none"/>
        </w:rPr>
        <w:instrText xml:space="preserve"> PAGEREF _Toc517190518 \h </w:instrText>
      </w:r>
      <w:r>
        <w:rPr>
          <w:rStyle w:val="93"/>
          <w:b/>
          <w:color w:val="auto"/>
          <w:u w:val="none"/>
        </w:rPr>
        <w:fldChar w:fldCharType="separate"/>
      </w:r>
      <w:r>
        <w:rPr>
          <w:rStyle w:val="93"/>
          <w:rFonts w:hint="eastAsia"/>
          <w:b/>
          <w:color w:val="auto"/>
          <w:u w:val="none"/>
        </w:rPr>
        <w:t>３４</w:t>
      </w:r>
      <w:r>
        <w:rPr>
          <w:rStyle w:val="93"/>
          <w:b/>
          <w:color w:val="auto"/>
          <w:u w:val="none"/>
        </w:rPr>
        <w:fldChar w:fldCharType="end"/>
      </w:r>
      <w:r>
        <w:rPr>
          <w:rStyle w:val="93"/>
          <w:b/>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"_Toc517190519" </w:instrText>
      </w:r>
      <w:r>
        <w:fldChar w:fldCharType="separate"/>
      </w:r>
      <w:r>
        <w:rPr>
          <w:rStyle w:val="93"/>
          <w:color w:val="auto"/>
          <w:u w:val="none"/>
        </w:rPr>
        <w:t>I. Global Economic and Financial Developments</w:t>
      </w:r>
      <w:r>
        <w:rPr>
          <w:rStyle w:val="93"/>
          <w:color w:val="auto"/>
          <w:u w:val="none"/>
        </w:rPr>
        <w:tab/>
      </w:r>
      <w:r>
        <w:rPr>
          <w:rStyle w:val="93"/>
          <w:color w:val="auto"/>
          <w:u w:val="none"/>
        </w:rPr>
        <w:fldChar w:fldCharType="begin"/>
      </w:r>
      <w:r>
        <w:rPr>
          <w:rStyle w:val="93"/>
          <w:color w:val="auto"/>
          <w:u w:val="none"/>
        </w:rPr>
        <w:instrText xml:space="preserve"> PAGEREF _Toc517190519 \h </w:instrText>
      </w:r>
      <w:r>
        <w:rPr>
          <w:rStyle w:val="93"/>
          <w:color w:val="auto"/>
          <w:u w:val="none"/>
        </w:rPr>
        <w:fldChar w:fldCharType="separate"/>
      </w:r>
      <w:r>
        <w:rPr>
          <w:rStyle w:val="93"/>
          <w:rFonts w:hint="eastAsia"/>
          <w:color w:val="auto"/>
          <w:u w:val="none"/>
        </w:rPr>
        <w:t>３４</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"_Toc517190520" </w:instrText>
      </w:r>
      <w:r>
        <w:fldChar w:fldCharType="separate"/>
      </w:r>
      <w:r>
        <w:rPr>
          <w:rStyle w:val="93"/>
          <w:color w:val="auto"/>
          <w:u w:val="none"/>
        </w:rPr>
        <w:t>II. Macro-economic Developments in China</w:t>
      </w:r>
      <w:r>
        <w:rPr>
          <w:rStyle w:val="93"/>
          <w:color w:val="auto"/>
          <w:u w:val="none"/>
        </w:rPr>
        <w:tab/>
      </w:r>
      <w:r>
        <w:rPr>
          <w:rStyle w:val="93"/>
          <w:color w:val="auto"/>
          <w:u w:val="none"/>
        </w:rPr>
        <w:fldChar w:fldCharType="begin"/>
      </w:r>
      <w:r>
        <w:rPr>
          <w:rStyle w:val="93"/>
          <w:color w:val="auto"/>
          <w:u w:val="none"/>
        </w:rPr>
        <w:instrText xml:space="preserve"> PAGEREF _Toc517190520 \h </w:instrText>
      </w:r>
      <w:r>
        <w:rPr>
          <w:rStyle w:val="93"/>
          <w:color w:val="auto"/>
          <w:u w:val="none"/>
        </w:rPr>
        <w:fldChar w:fldCharType="separate"/>
      </w:r>
      <w:r>
        <w:rPr>
          <w:rStyle w:val="93"/>
          <w:rFonts w:hint="eastAsia"/>
          <w:color w:val="auto"/>
          <w:u w:val="none"/>
        </w:rPr>
        <w:t>４０</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b/>
          <w:color w:val="auto"/>
          <w:u w:val="none"/>
        </w:rPr>
      </w:pPr>
      <w:r>
        <w:fldChar w:fldCharType="begin"/>
      </w:r>
      <w:r>
        <w:instrText xml:space="preserve"> HYPERLINK \l "_Toc517190521" </w:instrText>
      </w:r>
      <w:r>
        <w:fldChar w:fldCharType="separate"/>
      </w:r>
      <w:r>
        <w:rPr>
          <w:rStyle w:val="93"/>
          <w:b/>
          <w:color w:val="auto"/>
          <w:u w:val="none"/>
        </w:rPr>
        <w:t>Part 5. Monetary-Policy Stance to be Adopted during the Next Stage</w:t>
      </w:r>
      <w:r>
        <w:rPr>
          <w:rStyle w:val="93"/>
          <w:b/>
          <w:color w:val="auto"/>
          <w:u w:val="none"/>
        </w:rPr>
        <w:tab/>
      </w:r>
      <w:r>
        <w:rPr>
          <w:rStyle w:val="93"/>
          <w:b/>
          <w:color w:val="auto"/>
          <w:u w:val="none"/>
        </w:rPr>
        <w:fldChar w:fldCharType="begin"/>
      </w:r>
      <w:r>
        <w:rPr>
          <w:rStyle w:val="93"/>
          <w:b/>
          <w:color w:val="auto"/>
          <w:u w:val="none"/>
        </w:rPr>
        <w:instrText xml:space="preserve"> PAGEREF _Toc517190521 \h </w:instrText>
      </w:r>
      <w:r>
        <w:rPr>
          <w:rStyle w:val="93"/>
          <w:b/>
          <w:color w:val="auto"/>
          <w:u w:val="none"/>
        </w:rPr>
        <w:fldChar w:fldCharType="separate"/>
      </w:r>
      <w:r>
        <w:rPr>
          <w:rStyle w:val="93"/>
          <w:rFonts w:hint="eastAsia"/>
          <w:b/>
          <w:color w:val="auto"/>
          <w:u w:val="none"/>
        </w:rPr>
        <w:t>４８</w:t>
      </w:r>
      <w:r>
        <w:rPr>
          <w:rStyle w:val="93"/>
          <w:b/>
          <w:color w:val="auto"/>
          <w:u w:val="none"/>
        </w:rPr>
        <w:fldChar w:fldCharType="end"/>
      </w:r>
      <w:r>
        <w:rPr>
          <w:rStyle w:val="93"/>
          <w:b/>
          <w:color w:val="auto"/>
          <w:u w:val="none"/>
        </w:rPr>
        <w:fldChar w:fldCharType="end"/>
      </w:r>
    </w:p>
    <w:p>
      <w:pPr>
        <w:tabs>
          <w:tab w:val="right" w:leader="dot" w:pos="8296"/>
        </w:tabs>
        <w:spacing w:line="360" w:lineRule="auto"/>
        <w:ind w:left="-15" w:leftChars="-7" w:firstLine="10" w:firstLineChars="5"/>
        <w:rPr>
          <w:rStyle w:val="93"/>
          <w:color w:val="auto"/>
          <w:u w:val="none"/>
        </w:rPr>
      </w:pPr>
      <w:r>
        <w:fldChar w:fldCharType="begin"/>
      </w:r>
      <w:r>
        <w:instrText xml:space="preserve"> HYPERLINK \l "_Toc517190522" </w:instrText>
      </w:r>
      <w:r>
        <w:fldChar w:fldCharType="separate"/>
      </w:r>
      <w:r>
        <w:rPr>
          <w:rStyle w:val="93"/>
          <w:color w:val="auto"/>
          <w:u w:val="none"/>
        </w:rPr>
        <w:t>I.  Outlook for the Chinese Economy</w:t>
      </w:r>
      <w:r>
        <w:rPr>
          <w:rStyle w:val="93"/>
          <w:color w:val="auto"/>
          <w:u w:val="none"/>
        </w:rPr>
        <w:tab/>
      </w:r>
      <w:r>
        <w:rPr>
          <w:rStyle w:val="93"/>
          <w:color w:val="auto"/>
          <w:u w:val="none"/>
        </w:rPr>
        <w:fldChar w:fldCharType="begin"/>
      </w:r>
      <w:r>
        <w:rPr>
          <w:rStyle w:val="93"/>
          <w:color w:val="auto"/>
          <w:u w:val="none"/>
        </w:rPr>
        <w:instrText xml:space="preserve"> PAGEREF _Toc517190522 \h </w:instrText>
      </w:r>
      <w:r>
        <w:rPr>
          <w:rStyle w:val="93"/>
          <w:color w:val="auto"/>
          <w:u w:val="none"/>
        </w:rPr>
        <w:fldChar w:fldCharType="separate"/>
      </w:r>
      <w:r>
        <w:rPr>
          <w:rStyle w:val="93"/>
          <w:rFonts w:hint="eastAsia"/>
          <w:color w:val="auto"/>
          <w:u w:val="none"/>
        </w:rPr>
        <w:t>４８</w:t>
      </w:r>
      <w:r>
        <w:rPr>
          <w:rStyle w:val="93"/>
          <w:color w:val="auto"/>
          <w:u w:val="none"/>
        </w:rPr>
        <w:fldChar w:fldCharType="end"/>
      </w:r>
      <w:r>
        <w:rPr>
          <w:rStyle w:val="93"/>
          <w:color w:val="auto"/>
          <w:u w:val="none"/>
        </w:rPr>
        <w:fldChar w:fldCharType="end"/>
      </w:r>
    </w:p>
    <w:p>
      <w:pPr>
        <w:tabs>
          <w:tab w:val="right" w:leader="dot" w:pos="8296"/>
        </w:tabs>
        <w:spacing w:line="360" w:lineRule="auto"/>
        <w:ind w:left="-15" w:leftChars="-7" w:firstLine="10" w:firstLineChars="5"/>
        <w:rPr>
          <w:rStyle w:val="93"/>
          <w:b/>
          <w:color w:val="auto"/>
          <w:u w:val="none"/>
        </w:rPr>
      </w:pPr>
      <w:r>
        <w:fldChar w:fldCharType="begin"/>
      </w:r>
      <w:r>
        <w:instrText xml:space="preserve"> HYPERLINK \l "_Toc517190523" </w:instrText>
      </w:r>
      <w:r>
        <w:fldChar w:fldCharType="separate"/>
      </w:r>
      <w:r>
        <w:rPr>
          <w:rStyle w:val="93"/>
          <w:color w:val="auto"/>
          <w:u w:val="none"/>
        </w:rPr>
        <w:t>II. Monetary Policy during the Next Stage</w:t>
      </w:r>
      <w:r>
        <w:rPr>
          <w:rStyle w:val="93"/>
          <w:color w:val="auto"/>
          <w:u w:val="none"/>
        </w:rPr>
        <w:tab/>
      </w:r>
      <w:r>
        <w:rPr>
          <w:rStyle w:val="93"/>
          <w:color w:val="auto"/>
          <w:u w:val="none"/>
        </w:rPr>
        <w:fldChar w:fldCharType="begin"/>
      </w:r>
      <w:r>
        <w:rPr>
          <w:rStyle w:val="93"/>
          <w:color w:val="auto"/>
          <w:u w:val="none"/>
        </w:rPr>
        <w:instrText xml:space="preserve"> PAGEREF _Toc517190523 \h </w:instrText>
      </w:r>
      <w:r>
        <w:rPr>
          <w:rStyle w:val="93"/>
          <w:color w:val="auto"/>
          <w:u w:val="none"/>
        </w:rPr>
        <w:fldChar w:fldCharType="separate"/>
      </w:r>
      <w:r>
        <w:rPr>
          <w:rStyle w:val="93"/>
          <w:rFonts w:hint="eastAsia"/>
          <w:color w:val="auto"/>
          <w:u w:val="none"/>
        </w:rPr>
        <w:t>５２</w:t>
      </w:r>
      <w:r>
        <w:rPr>
          <w:rStyle w:val="93"/>
          <w:color w:val="auto"/>
          <w:u w:val="none"/>
        </w:rPr>
        <w:fldChar w:fldCharType="end"/>
      </w:r>
      <w:r>
        <w:rPr>
          <w:rStyle w:val="93"/>
          <w:color w:val="auto"/>
          <w:u w:val="none"/>
        </w:rPr>
        <w:fldChar w:fldCharType="end"/>
      </w:r>
    </w:p>
    <w:p>
      <w:pPr>
        <w:pStyle w:val="77"/>
        <w:rPr>
          <w:rStyle w:val="93"/>
          <w:rFonts w:ascii="Times New Roman" w:eastAsia="宋体"/>
          <w:b/>
          <w:kern w:val="2"/>
          <w:sz w:val="21"/>
          <w:szCs w:val="24"/>
          <w:shd w:val="pct10" w:color="auto" w:fill="FFFFFF"/>
        </w:rPr>
      </w:pPr>
      <w:r>
        <w:rPr>
          <w:rStyle w:val="93"/>
          <w:rFonts w:ascii="Times New Roman"/>
        </w:rPr>
        <w:fldChar w:fldCharType="end"/>
      </w:r>
    </w:p>
    <w:p>
      <w:pPr>
        <w:tabs>
          <w:tab w:val="right" w:leader="dot" w:pos="8296"/>
        </w:tabs>
        <w:spacing w:line="360" w:lineRule="auto"/>
        <w:ind w:left="-15" w:leftChars="-7" w:firstLine="11" w:firstLineChars="5"/>
        <w:rPr>
          <w:rStyle w:val="93"/>
          <w:b/>
          <w:color w:val="auto"/>
          <w:u w:val="none"/>
        </w:rPr>
      </w:pPr>
      <w:r>
        <w:rPr>
          <w:rStyle w:val="93"/>
          <w:b/>
          <w:color w:val="auto"/>
          <w:u w:val="none"/>
        </w:rPr>
        <w:t>Boxes</w:t>
      </w:r>
    </w:p>
    <w:p>
      <w:pPr>
        <w:pStyle w:val="76"/>
        <w:tabs>
          <w:tab w:val="right" w:leader="dot" w:pos="8296"/>
        </w:tabs>
        <w:ind w:left="842" w:hanging="422"/>
        <w:rPr>
          <w:rFonts w:asciiTheme="minorHAnsi" w:hAnsiTheme="minorHAnsi" w:eastAsiaTheme="minorEastAsia" w:cstheme="minorBidi"/>
          <w:szCs w:val="22"/>
        </w:rPr>
      </w:pPr>
      <w:r>
        <w:rPr>
          <w:rStyle w:val="93"/>
          <w:b/>
        </w:rPr>
        <w:fldChar w:fldCharType="begin"/>
      </w:r>
      <w:r>
        <w:rPr>
          <w:rStyle w:val="93"/>
          <w:b/>
        </w:rPr>
        <w:instrText xml:space="preserve"> TOC \h \z \c "Box" </w:instrText>
      </w:r>
      <w:r>
        <w:rPr>
          <w:rStyle w:val="93"/>
          <w:b/>
        </w:rPr>
        <w:fldChar w:fldCharType="separate"/>
      </w:r>
      <w:r>
        <w:fldChar w:fldCharType="begin"/>
      </w:r>
      <w:r>
        <w:instrText xml:space="preserve"> HYPERLINK \l "_Toc517191133" </w:instrText>
      </w:r>
      <w:r>
        <w:fldChar w:fldCharType="separate"/>
      </w:r>
      <w:r>
        <w:rPr>
          <w:rStyle w:val="93"/>
        </w:rPr>
        <w:t>Box 1</w:t>
      </w:r>
      <w:r>
        <w:rPr>
          <w:rStyle w:val="93"/>
          <w:rFonts w:hint="eastAsia"/>
        </w:rPr>
        <w:t>.</w:t>
      </w:r>
      <w:r>
        <w:rPr>
          <w:rStyle w:val="93"/>
        </w:rPr>
        <w:t>New Developments in RMB Internationalization</w:t>
      </w:r>
      <w:r>
        <w:tab/>
      </w:r>
      <w:r>
        <w:fldChar w:fldCharType="begin"/>
      </w:r>
      <w:r>
        <w:instrText xml:space="preserve"> PAGEREF _Toc517191133 \h </w:instrText>
      </w:r>
      <w:r>
        <w:fldChar w:fldCharType="separate"/>
      </w:r>
      <w:r>
        <w:rPr>
          <w:rFonts w:hint="eastAsia"/>
        </w:rPr>
        <w:t>１０</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"_Toc517191134" </w:instrText>
      </w:r>
      <w:r>
        <w:fldChar w:fldCharType="separate"/>
      </w:r>
      <w:r>
        <w:rPr>
          <w:rStyle w:val="93"/>
        </w:rPr>
        <w:t>Box 2</w:t>
      </w:r>
      <w:r>
        <w:rPr>
          <w:rStyle w:val="93"/>
          <w:rFonts w:hint="eastAsia"/>
        </w:rPr>
        <w:t>.</w:t>
      </w:r>
      <w:r>
        <w:rPr>
          <w:rStyle w:val="93"/>
        </w:rPr>
        <w:t>Eligible Counterparties of Central Banks</w:t>
      </w:r>
      <w:r>
        <w:tab/>
      </w:r>
      <w:r>
        <w:fldChar w:fldCharType="begin"/>
      </w:r>
      <w:r>
        <w:instrText xml:space="preserve"> PAGEREF _Toc517191134 \h </w:instrText>
      </w:r>
      <w:r>
        <w:fldChar w:fldCharType="separate"/>
      </w:r>
      <w:r>
        <w:rPr>
          <w:rFonts w:hint="eastAsia"/>
        </w:rPr>
        <w:t>１３</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"_Toc517191135" </w:instrText>
      </w:r>
      <w:r>
        <w:fldChar w:fldCharType="separate"/>
      </w:r>
      <w:r>
        <w:rPr>
          <w:rStyle w:val="93"/>
        </w:rPr>
        <w:t>Box 3</w:t>
      </w:r>
      <w:r>
        <w:rPr>
          <w:rStyle w:val="93"/>
          <w:rFonts w:hint="eastAsia"/>
        </w:rPr>
        <w:t>.</w:t>
      </w:r>
      <w:r>
        <w:rPr>
          <w:rStyle w:val="93"/>
        </w:rPr>
        <w:t>Central-Bank Interest-Rate Adjustments and Transmission</w:t>
      </w:r>
      <w:r>
        <w:tab/>
      </w:r>
      <w:r>
        <w:fldChar w:fldCharType="begin"/>
      </w:r>
      <w:r>
        <w:instrText xml:space="preserve"> PAGEREF _Toc517191135 \h </w:instrText>
      </w:r>
      <w:r>
        <w:fldChar w:fldCharType="separate"/>
      </w:r>
      <w:r>
        <w:rPr>
          <w:rFonts w:hint="eastAsia"/>
        </w:rPr>
        <w:t>２５</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"_Toc517191136" </w:instrText>
      </w:r>
      <w:r>
        <w:fldChar w:fldCharType="separate"/>
      </w:r>
      <w:r>
        <w:rPr>
          <w:rStyle w:val="93"/>
        </w:rPr>
        <w:t>Box 4</w:t>
      </w:r>
      <w:r>
        <w:rPr>
          <w:rStyle w:val="93"/>
          <w:rFonts w:hint="eastAsia"/>
        </w:rPr>
        <w:t>.</w:t>
      </w:r>
      <w:r>
        <w:rPr>
          <w:rStyle w:val="93"/>
        </w:rPr>
        <w:t>Latest Developments in China’s Macro Leverage Ratio</w:t>
      </w:r>
      <w:r>
        <w:tab/>
      </w:r>
      <w:r>
        <w:fldChar w:fldCharType="begin"/>
      </w:r>
      <w:r>
        <w:instrText xml:space="preserve"> PAGEREF _Toc517191136 \h </w:instrText>
      </w:r>
      <w:r>
        <w:fldChar w:fldCharType="separate"/>
      </w:r>
      <w:r>
        <w:rPr>
          <w:rFonts w:hint="eastAsia"/>
        </w:rPr>
        <w:t>４９</w:t>
      </w:r>
      <w:r>
        <w:fldChar w:fldCharType="end"/>
      </w:r>
      <w:r>
        <w:fldChar w:fldCharType="end"/>
      </w:r>
    </w:p>
    <w:p>
      <w:pPr>
        <w:pStyle w:val="76"/>
        <w:tabs>
          <w:tab w:val="right" w:leader="dot" w:pos="8296"/>
        </w:tabs>
        <w:spacing w:line="360" w:lineRule="auto"/>
        <w:ind w:left="0" w:leftChars="0" w:firstLine="0" w:firstLineChars="0"/>
        <w:rPr>
          <w:rStyle w:val="93"/>
          <w:b/>
        </w:rPr>
      </w:pPr>
      <w:r>
        <w:rPr>
          <w:rStyle w:val="93"/>
          <w:b/>
        </w:rPr>
        <w:fldChar w:fldCharType="end"/>
      </w:r>
    </w:p>
    <w:p>
      <w:pPr>
        <w:tabs>
          <w:tab w:val="right" w:leader="dot" w:pos="8296"/>
        </w:tabs>
        <w:spacing w:line="360" w:lineRule="auto"/>
        <w:ind w:left="-15" w:leftChars="-7" w:firstLine="11" w:firstLineChars="5"/>
        <w:rPr>
          <w:rStyle w:val="93"/>
          <w:b/>
          <w:color w:val="auto"/>
          <w:u w:val="none"/>
        </w:rPr>
      </w:pPr>
      <w:r>
        <w:rPr>
          <w:rStyle w:val="93"/>
          <w:b/>
          <w:color w:val="auto"/>
          <w:u w:val="none"/>
        </w:rPr>
        <w:t>Tables</w:t>
      </w:r>
    </w:p>
    <w:p>
      <w:pPr>
        <w:pStyle w:val="76"/>
        <w:tabs>
          <w:tab w:val="right" w:leader="dot" w:pos="8296"/>
        </w:tabs>
        <w:rPr>
          <w:rFonts w:asciiTheme="minorHAnsi" w:hAnsiTheme="minorHAnsi" w:eastAsiaTheme="minorEastAsia" w:cstheme="minorBidi"/>
          <w:szCs w:val="22"/>
        </w:rPr>
      </w:pPr>
      <w:r>
        <w:rPr>
          <w:rStyle w:val="93"/>
        </w:rPr>
        <w:fldChar w:fldCharType="begin"/>
      </w:r>
      <w:r>
        <w:rPr>
          <w:rStyle w:val="93"/>
        </w:rPr>
        <w:instrText xml:space="preserve"> TOC \h \z \c "Table" </w:instrText>
      </w:r>
      <w:r>
        <w:rPr>
          <w:rStyle w:val="93"/>
        </w:rPr>
        <w:fldChar w:fldCharType="separate"/>
      </w:r>
      <w:r>
        <w:fldChar w:fldCharType="begin"/>
      </w:r>
      <w:r>
        <w:instrText xml:space="preserve"> HYPERLINK \l "_Toc517190856" </w:instrText>
      </w:r>
      <w:r>
        <w:fldChar w:fldCharType="separate"/>
      </w:r>
      <w:r>
        <w:rPr>
          <w:rStyle w:val="93"/>
        </w:rPr>
        <w:t>Table 1. Structure of RMB Deposits in Q1 of 2018</w:t>
      </w:r>
      <w:r>
        <w:tab/>
      </w:r>
      <w:r>
        <w:fldChar w:fldCharType="begin"/>
      </w:r>
      <w:r>
        <w:instrText xml:space="preserve"> PAGEREF _Toc517190856 \h </w:instrText>
      </w:r>
      <w:r>
        <w:fldChar w:fldCharType="separate"/>
      </w:r>
      <w:r>
        <w:rPr>
          <w:rFonts w:hint="eastAsia"/>
        </w:rPr>
        <w:t>２</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"_Toc517190857" </w:instrText>
      </w:r>
      <w:r>
        <w:fldChar w:fldCharType="separate"/>
      </w:r>
      <w:r>
        <w:rPr>
          <w:rStyle w:val="93"/>
        </w:rPr>
        <w:t>Table 2. Structure of RMB Loans in Q1 of 2018</w:t>
      </w:r>
      <w:r>
        <w:tab/>
      </w:r>
      <w:r>
        <w:fldChar w:fldCharType="begin"/>
      </w:r>
      <w:r>
        <w:instrText xml:space="preserve"> PAGEREF _Toc517190857 \h </w:instrText>
      </w:r>
      <w:r>
        <w:fldChar w:fldCharType="separate"/>
      </w:r>
      <w:r>
        <w:rPr>
          <w:rFonts w:hint="eastAsia"/>
        </w:rPr>
        <w:t>４</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"_Toc517190858" </w:instrText>
      </w:r>
      <w:r>
        <w:fldChar w:fldCharType="separate"/>
      </w:r>
      <w:r>
        <w:rPr>
          <w:rStyle w:val="93"/>
        </w:rPr>
        <w:t>Table 3. New RMB Loans by Financial Institutions in Q1 of 2018</w:t>
      </w:r>
      <w:r>
        <w:tab/>
      </w:r>
      <w:r>
        <w:fldChar w:fldCharType="begin"/>
      </w:r>
      <w:r>
        <w:instrText xml:space="preserve"> PAGEREF _Toc517190858 \h </w:instrText>
      </w:r>
      <w:r>
        <w:fldChar w:fldCharType="separate"/>
      </w:r>
      <w:r>
        <w:rPr>
          <w:rFonts w:hint="eastAsia"/>
        </w:rPr>
        <w:t>４</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"_Toc517190859" </w:instrText>
      </w:r>
      <w:r>
        <w:fldChar w:fldCharType="separate"/>
      </w:r>
      <w:r>
        <w:rPr>
          <w:rStyle w:val="93"/>
        </w:rPr>
        <w:t>Table 4. Stocks of All-System Financing Aggregates at end-March 2018</w:t>
      </w:r>
      <w:r>
        <w:tab/>
      </w:r>
      <w:r>
        <w:fldChar w:fldCharType="begin"/>
      </w:r>
      <w:r>
        <w:instrText xml:space="preserve"> PAGEREF _Toc517190859 \h </w:instrText>
      </w:r>
      <w:r>
        <w:fldChar w:fldCharType="separate"/>
      </w:r>
      <w:r>
        <w:rPr>
          <w:rFonts w:hint="eastAsia"/>
        </w:rPr>
        <w:t>６</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"_Toc517190860" </w:instrText>
      </w:r>
      <w:r>
        <w:fldChar w:fldCharType="separate"/>
      </w:r>
      <w:r>
        <w:rPr>
          <w:rStyle w:val="93"/>
        </w:rPr>
        <w:t>Table 5. Increments of All-system Financing Aggregates in Q1 2018</w:t>
      </w:r>
      <w:r>
        <w:tab/>
      </w:r>
      <w:r>
        <w:fldChar w:fldCharType="begin"/>
      </w:r>
      <w:r>
        <w:instrText xml:space="preserve"> PAGEREF _Toc517190860 \h </w:instrText>
      </w:r>
      <w:r>
        <w:fldChar w:fldCharType="separate"/>
      </w:r>
      <w:r>
        <w:rPr>
          <w:rFonts w:hint="eastAsia"/>
        </w:rPr>
        <w:t>６</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"_Toc517190861" </w:instrText>
      </w:r>
      <w:r>
        <w:fldChar w:fldCharType="separate"/>
      </w:r>
      <w:r>
        <w:rPr>
          <w:rStyle w:val="93"/>
        </w:rPr>
        <w:t>Table 6. Shares of Loans with Rates Below, At, or Above the Benchmark Rate, January through March 2018</w:t>
      </w:r>
      <w:r>
        <w:tab/>
      </w:r>
      <w:r>
        <w:fldChar w:fldCharType="begin"/>
      </w:r>
      <w:r>
        <w:instrText xml:space="preserve"> PAGEREF _Toc517190861 \h </w:instrText>
      </w:r>
      <w:r>
        <w:fldChar w:fldCharType="separate"/>
      </w:r>
      <w:r>
        <w:rPr>
          <w:rFonts w:hint="eastAsia"/>
        </w:rPr>
        <w:t>７</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"_Toc517190862" </w:instrText>
      </w:r>
      <w:r>
        <w:fldChar w:fldCharType="separate"/>
      </w:r>
      <w:r>
        <w:rPr>
          <w:rStyle w:val="93"/>
        </w:rPr>
        <w:t>Table 7. Average Interest Rates for Large-Value Deposits and Loans in USD, January through March 2018</w:t>
      </w:r>
      <w:r>
        <w:tab/>
      </w:r>
      <w:r>
        <w:fldChar w:fldCharType="begin"/>
      </w:r>
      <w:r>
        <w:instrText xml:space="preserve"> PAGEREF _Toc517190862 \h </w:instrText>
      </w:r>
      <w:r>
        <w:fldChar w:fldCharType="separate"/>
      </w:r>
      <w:r>
        <w:rPr>
          <w:rFonts w:hint="eastAsia"/>
        </w:rPr>
        <w:t>８</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"_Toc517190863" </w:instrText>
      </w:r>
      <w:r>
        <w:fldChar w:fldCharType="separate"/>
      </w:r>
      <w:r>
        <w:rPr>
          <w:rStyle w:val="93"/>
        </w:rPr>
        <w:t>Table 8. Trading Volume of the RMB Against Other Currencies in the Inter-bank Foreign-Exchange Spot Market in Q1 2018</w:t>
      </w:r>
      <w:r>
        <w:tab/>
      </w:r>
      <w:r>
        <w:fldChar w:fldCharType="begin"/>
      </w:r>
      <w:r>
        <w:instrText xml:space="preserve"> PAGEREF _Toc517190863 \h </w:instrText>
      </w:r>
      <w:r>
        <w:fldChar w:fldCharType="separate"/>
      </w:r>
      <w:r>
        <w:rPr>
          <w:rFonts w:hint="eastAsia"/>
        </w:rPr>
        <w:t>２０</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"_Toc517190864" </w:instrText>
      </w:r>
      <w:r>
        <w:fldChar w:fldCharType="separate"/>
      </w:r>
      <w:r>
        <w:rPr>
          <w:rStyle w:val="93"/>
          <w:bCs/>
        </w:rPr>
        <w:t>Table 9. Fund Flows among Financial Institutions, Q1 2018</w:t>
      </w:r>
      <w:r>
        <w:tab/>
      </w:r>
      <w:r>
        <w:fldChar w:fldCharType="begin"/>
      </w:r>
      <w:r>
        <w:instrText xml:space="preserve"> PAGEREF _Toc517190864 \h </w:instrText>
      </w:r>
      <w:r>
        <w:fldChar w:fldCharType="separate"/>
      </w:r>
      <w:r>
        <w:rPr>
          <w:rFonts w:hint="eastAsia"/>
        </w:rPr>
        <w:t>２３</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"_Toc517190865" </w:instrText>
      </w:r>
      <w:r>
        <w:fldChar w:fldCharType="separate"/>
      </w:r>
      <w:r>
        <w:rPr>
          <w:rStyle w:val="93"/>
        </w:rPr>
        <w:t>Table 10. Transactions of Interest-Rate Swaps, Q1 2018</w:t>
      </w:r>
      <w:r>
        <w:tab/>
      </w:r>
      <w:r>
        <w:fldChar w:fldCharType="begin"/>
      </w:r>
      <w:r>
        <w:instrText xml:space="preserve"> PAGEREF _Toc517190865 \h </w:instrText>
      </w:r>
      <w:r>
        <w:fldChar w:fldCharType="separate"/>
      </w:r>
      <w:r>
        <w:rPr>
          <w:rFonts w:hint="eastAsia"/>
        </w:rPr>
        <w:t>２５</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"_Toc517190866" </w:instrText>
      </w:r>
      <w:r>
        <w:fldChar w:fldCharType="separate"/>
      </w:r>
      <w:r>
        <w:rPr>
          <w:rStyle w:val="93"/>
        </w:rPr>
        <w:t>Table 11 Bond Issuances, Q1 2018</w:t>
      </w:r>
      <w:r>
        <w:tab/>
      </w:r>
      <w:r>
        <w:fldChar w:fldCharType="begin"/>
      </w:r>
      <w:r>
        <w:instrText xml:space="preserve"> PAGEREF _Toc517190866 \h </w:instrText>
      </w:r>
      <w:r>
        <w:fldChar w:fldCharType="separate"/>
      </w:r>
      <w:r>
        <w:rPr>
          <w:rFonts w:hint="eastAsia"/>
        </w:rPr>
        <w:t>２８</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"_Toc517190867" </w:instrText>
      </w:r>
      <w:r>
        <w:fldChar w:fldCharType="separate"/>
      </w:r>
      <w:r>
        <w:rPr>
          <w:rStyle w:val="93"/>
        </w:rPr>
        <w:t>Table 12. Use of Insurance Funds, End-March 2018</w:t>
      </w:r>
      <w:r>
        <w:tab/>
      </w:r>
      <w:r>
        <w:fldChar w:fldCharType="begin"/>
      </w:r>
      <w:r>
        <w:instrText xml:space="preserve"> PAGEREF _Toc517190867 \h </w:instrText>
      </w:r>
      <w:r>
        <w:fldChar w:fldCharType="separate"/>
      </w:r>
      <w:r>
        <w:rPr>
          <w:rFonts w:hint="eastAsia"/>
        </w:rPr>
        <w:t>３０</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"_Toc517190868" </w:instrText>
      </w:r>
      <w:r>
        <w:fldChar w:fldCharType="separate"/>
      </w:r>
      <w:r>
        <w:rPr>
          <w:rStyle w:val="93"/>
          <w:rFonts w:eastAsia="仿宋_GB2312"/>
        </w:rPr>
        <w:t>Table 13. Macro-economic and Financial Indicators in the Major Advanced Economies</w:t>
      </w:r>
      <w:r>
        <w:tab/>
      </w:r>
      <w:r>
        <w:fldChar w:fldCharType="begin"/>
      </w:r>
      <w:r>
        <w:instrText xml:space="preserve"> PAGEREF _Toc517190868 \h </w:instrText>
      </w:r>
      <w:r>
        <w:fldChar w:fldCharType="separate"/>
      </w:r>
      <w:r>
        <w:rPr>
          <w:rFonts w:hint="eastAsia"/>
        </w:rPr>
        <w:t>３５</w:t>
      </w:r>
      <w:r>
        <w:fldChar w:fldCharType="end"/>
      </w:r>
      <w:r>
        <w:fldChar w:fldCharType="end"/>
      </w:r>
    </w:p>
    <w:p>
      <w:pPr>
        <w:tabs>
          <w:tab w:val="right" w:leader="dot" w:pos="8296"/>
        </w:tabs>
        <w:spacing w:line="360" w:lineRule="auto"/>
        <w:ind w:left="-15" w:leftChars="-7" w:firstLine="10" w:firstLineChars="5"/>
        <w:rPr>
          <w:rStyle w:val="93"/>
        </w:rPr>
      </w:pPr>
      <w:r>
        <w:rPr>
          <w:rStyle w:val="93"/>
        </w:rPr>
        <w:fldChar w:fldCharType="end"/>
      </w:r>
    </w:p>
    <w:p>
      <w:pPr>
        <w:tabs>
          <w:tab w:val="right" w:leader="dot" w:pos="8296"/>
        </w:tabs>
        <w:spacing w:line="360" w:lineRule="auto"/>
        <w:ind w:right="420"/>
        <w:rPr>
          <w:rStyle w:val="93"/>
          <w:b/>
          <w:color w:val="auto"/>
          <w:u w:val="none"/>
        </w:rPr>
      </w:pPr>
      <w:r>
        <w:rPr>
          <w:rStyle w:val="93"/>
          <w:b/>
          <w:color w:val="auto"/>
          <w:u w:val="none"/>
        </w:rPr>
        <w:t>Figures</w:t>
      </w:r>
    </w:p>
    <w:p>
      <w:pPr>
        <w:pStyle w:val="76"/>
        <w:tabs>
          <w:tab w:val="right" w:leader="dot" w:pos="8296"/>
        </w:tabs>
        <w:rPr>
          <w:rFonts w:asciiTheme="minorHAnsi" w:hAnsiTheme="minorHAnsi" w:eastAsiaTheme="minorEastAsia" w:cstheme="minorBidi"/>
          <w:szCs w:val="22"/>
        </w:rPr>
      </w:pPr>
      <w:r>
        <w:rPr>
          <w:rStyle w:val="93"/>
        </w:rPr>
        <w:fldChar w:fldCharType="begin"/>
      </w:r>
      <w:r>
        <w:rPr>
          <w:rStyle w:val="93"/>
        </w:rPr>
        <w:instrText xml:space="preserve"> TOC \h \z \c "Figure" </w:instrText>
      </w:r>
      <w:r>
        <w:rPr>
          <w:rStyle w:val="93"/>
        </w:rPr>
        <w:fldChar w:fldCharType="separate"/>
      </w:r>
      <w:r>
        <w:fldChar w:fldCharType="begin"/>
      </w:r>
      <w:r>
        <w:instrText xml:space="preserve"> HYPERLINK \l "_Toc517190899" </w:instrText>
      </w:r>
      <w:r>
        <w:fldChar w:fldCharType="separate"/>
      </w:r>
      <w:r>
        <w:rPr>
          <w:rStyle w:val="93"/>
        </w:rPr>
        <w:t>Figure 1</w:t>
      </w:r>
      <w:r>
        <w:rPr>
          <w:rStyle w:val="93"/>
          <w:rFonts w:eastAsia="仿宋_GB2312"/>
        </w:rPr>
        <w:t>. Growth of money supply</w:t>
      </w:r>
      <w:r>
        <w:tab/>
      </w:r>
      <w:r>
        <w:fldChar w:fldCharType="begin"/>
      </w:r>
      <w:r>
        <w:instrText xml:space="preserve"> PAGEREF _Toc517190899 \h </w:instrText>
      </w:r>
      <w:r>
        <w:fldChar w:fldCharType="separate"/>
      </w:r>
      <w:r>
        <w:rPr>
          <w:rFonts w:hint="eastAsia"/>
        </w:rPr>
        <w:t>２</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"_Toc517190900" </w:instrText>
      </w:r>
      <w:r>
        <w:fldChar w:fldCharType="separate"/>
      </w:r>
      <w:r>
        <w:rPr>
          <w:rStyle w:val="93"/>
        </w:rPr>
        <w:t>Figure 2. Monthly RMB Payments and Receipts under the Current Account</w:t>
      </w:r>
      <w:r>
        <w:tab/>
      </w:r>
      <w:r>
        <w:fldChar w:fldCharType="begin"/>
      </w:r>
      <w:r>
        <w:instrText xml:space="preserve"> PAGEREF _Toc517190900 \h </w:instrText>
      </w:r>
      <w:r>
        <w:fldChar w:fldCharType="separate"/>
      </w:r>
      <w:r>
        <w:rPr>
          <w:rFonts w:hint="eastAsia"/>
        </w:rPr>
        <w:t>１０</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"_Toc517190901" </w:instrText>
      </w:r>
      <w:r>
        <w:fldChar w:fldCharType="separate"/>
      </w:r>
      <w:r>
        <w:rPr>
          <w:rStyle w:val="93"/>
        </w:rPr>
        <w:t>Figure 3 .Yield Curve of Government Securities on the Inter-bank Market</w:t>
      </w:r>
      <w:r>
        <w:tab/>
      </w:r>
      <w:r>
        <w:fldChar w:fldCharType="begin"/>
      </w:r>
      <w:r>
        <w:instrText xml:space="preserve"> PAGEREF _Toc517190901 \h </w:instrText>
      </w:r>
      <w:r>
        <w:fldChar w:fldCharType="separate"/>
      </w:r>
      <w:r>
        <w:rPr>
          <w:rFonts w:hint="eastAsia"/>
        </w:rPr>
        <w:t>２７</w:t>
      </w:r>
      <w:r>
        <w:fldChar w:fldCharType="end"/>
      </w:r>
      <w:r>
        <w:fldChar w:fldCharType="end"/>
      </w:r>
    </w:p>
    <w:p>
      <w:pPr>
        <w:pStyle w:val="76"/>
        <w:tabs>
          <w:tab w:val="right" w:leader="dot" w:pos="8296"/>
        </w:tabs>
        <w:rPr>
          <w:rFonts w:asciiTheme="minorHAnsi" w:hAnsiTheme="minorHAnsi" w:eastAsiaTheme="minorEastAsia" w:cstheme="minorBidi"/>
          <w:szCs w:val="22"/>
        </w:rPr>
      </w:pPr>
      <w:r>
        <w:fldChar w:fldCharType="begin"/>
      </w:r>
      <w:r>
        <w:instrText xml:space="preserve"> HYPERLINK \l "_Toc517190902" </w:instrText>
      </w:r>
      <w:r>
        <w:fldChar w:fldCharType="separate"/>
      </w:r>
      <w:r>
        <w:rPr>
          <w:rStyle w:val="93"/>
          <w:bCs/>
          <w:kern w:val="0"/>
        </w:rPr>
        <w:t>Figure 4. Import and Export Growth and the Trade Balance</w:t>
      </w:r>
      <w:r>
        <w:tab/>
      </w:r>
      <w:r>
        <w:fldChar w:fldCharType="begin"/>
      </w:r>
      <w:r>
        <w:instrText xml:space="preserve"> PAGEREF _Toc517190902 \h </w:instrText>
      </w:r>
      <w:r>
        <w:fldChar w:fldCharType="separate"/>
      </w:r>
      <w:r>
        <w:rPr>
          <w:rFonts w:hint="eastAsia"/>
        </w:rPr>
        <w:t>４２</w:t>
      </w:r>
      <w:r>
        <w:fldChar w:fldCharType="end"/>
      </w:r>
      <w:r>
        <w:fldChar w:fldCharType="end"/>
      </w:r>
    </w:p>
    <w:p>
      <w:pPr>
        <w:pStyle w:val="76"/>
        <w:tabs>
          <w:tab w:val="right" w:leader="dot" w:pos="8296"/>
        </w:tabs>
        <w:spacing w:line="360" w:lineRule="auto"/>
        <w:rPr>
          <w:rStyle w:val="93"/>
          <w:rFonts w:eastAsia="黑体"/>
          <w:kern w:val="0"/>
          <w:sz w:val="24"/>
          <w:szCs w:val="36"/>
        </w:rPr>
        <w:sectPr>
          <w:footerReference r:id="rId3" w:type="default"/>
          <w:endnotePr>
            <w:numFmt w:val="decimal"/>
          </w:endnotePr>
          <w:pgSz w:w="11906" w:h="16838"/>
          <w:pgMar w:top="1440" w:right="1800" w:bottom="1440" w:left="1800" w:header="851" w:footer="992" w:gutter="0"/>
          <w:pgNumType w:start="1"/>
          <w:cols w:space="720" w:num="1"/>
          <w:docGrid w:type="lines" w:linePitch="312" w:charSpace="0"/>
        </w:sectPr>
      </w:pPr>
      <w:r>
        <w:rPr>
          <w:rStyle w:val="93"/>
        </w:rPr>
        <w:fldChar w:fldCharType="end"/>
      </w:r>
    </w:p>
    <w:p>
      <w:pPr>
        <w:keepNext/>
        <w:keepLines/>
        <w:spacing w:beforeLines="100" w:afterLines="100"/>
        <w:jc w:val="center"/>
        <w:outlineLvl w:val="0"/>
        <w:rPr>
          <w:rFonts w:eastAsia="仿宋_GB2312"/>
          <w:b/>
          <w:sz w:val="24"/>
        </w:rPr>
      </w:pPr>
      <w:bookmarkStart w:id="3" w:name="_Toc517190497"/>
      <w:bookmarkStart w:id="4" w:name="_Toc505346980"/>
      <w:r>
        <w:rPr>
          <w:rFonts w:eastAsia="仿宋_GB2312"/>
          <w:b/>
          <w:sz w:val="24"/>
        </w:rPr>
        <w:t>Part 1. Money and Credit Analysis</w:t>
      </w:r>
      <w:bookmarkEnd w:id="3"/>
      <w:bookmarkEnd w:id="4"/>
    </w:p>
    <w:p>
      <w:pPr>
        <w:rPr>
          <w:rFonts w:eastAsia="仿宋_GB2312"/>
          <w:sz w:val="24"/>
        </w:rPr>
      </w:pPr>
      <w:bookmarkStart w:id="5" w:name="_Toc411351808"/>
      <w:bookmarkEnd w:id="5"/>
      <w:r>
        <w:rPr>
          <w:rFonts w:hint="eastAsia" w:eastAsia="仿宋_GB2312"/>
          <w:sz w:val="24"/>
        </w:rPr>
        <w:t>During Q1 of</w:t>
      </w:r>
      <w:r>
        <w:rPr>
          <w:rFonts w:eastAsia="仿宋_GB2312"/>
          <w:sz w:val="24"/>
        </w:rPr>
        <w:t xml:space="preserve"> 201</w:t>
      </w:r>
      <w:r>
        <w:rPr>
          <w:rFonts w:hint="eastAsia" w:eastAsia="仿宋_GB2312"/>
          <w:sz w:val="24"/>
        </w:rPr>
        <w:t>8</w:t>
      </w:r>
      <w:r>
        <w:rPr>
          <w:rFonts w:eastAsia="仿宋_GB2312"/>
          <w:sz w:val="24"/>
        </w:rPr>
        <w:t xml:space="preserve">, liquidity in the banking sector was stable at an appropriate level. Money, credit, and all-system financing aggregates grew </w:t>
      </w:r>
      <w:r>
        <w:rPr>
          <w:rFonts w:hint="eastAsia" w:eastAsia="仿宋_GB2312"/>
          <w:sz w:val="24"/>
        </w:rPr>
        <w:t>moderate</w:t>
      </w:r>
      <w:r>
        <w:rPr>
          <w:rFonts w:eastAsia="仿宋_GB2312"/>
          <w:sz w:val="24"/>
        </w:rPr>
        <w:t xml:space="preserve">ly. Lending structures continued to improve, interest rates were generally stable, and </w:t>
      </w:r>
      <w:r>
        <w:rPr>
          <w:rFonts w:hint="eastAsia" w:eastAsia="仿宋_GB2312"/>
          <w:sz w:val="24"/>
        </w:rPr>
        <w:t xml:space="preserve">RMB </w:t>
      </w:r>
      <w:r>
        <w:rPr>
          <w:rFonts w:eastAsia="仿宋_GB2312"/>
          <w:sz w:val="24"/>
        </w:rPr>
        <w:t>exchange rates were becoming more flexible.</w:t>
      </w:r>
    </w:p>
    <w:p>
      <w:pPr>
        <w:rPr>
          <w:rFonts w:eastAsia="仿宋_GB2312"/>
          <w:sz w:val="24"/>
        </w:rPr>
      </w:pPr>
    </w:p>
    <w:p>
      <w:pPr>
        <w:keepNext/>
        <w:keepLines/>
        <w:widowControl/>
        <w:adjustRightInd w:val="0"/>
        <w:spacing w:before="20" w:after="20"/>
        <w:outlineLvl w:val="1"/>
        <w:rPr>
          <w:rFonts w:eastAsia="黑体"/>
          <w:b/>
          <w:sz w:val="24"/>
        </w:rPr>
      </w:pPr>
      <w:bookmarkStart w:id="6" w:name="_Toc472330057"/>
      <w:bookmarkEnd w:id="6"/>
      <w:bookmarkStart w:id="7" w:name="_Toc477878074"/>
      <w:bookmarkEnd w:id="7"/>
      <w:bookmarkStart w:id="8" w:name="_Toc492904367"/>
      <w:bookmarkEnd w:id="8"/>
      <w:bookmarkStart w:id="9" w:name="_Toc464655671"/>
      <w:bookmarkEnd w:id="9"/>
      <w:bookmarkStart w:id="10" w:name="_Toc484425012"/>
      <w:bookmarkEnd w:id="10"/>
      <w:bookmarkStart w:id="11" w:name="_Toc423005883"/>
      <w:bookmarkEnd w:id="11"/>
      <w:bookmarkStart w:id="12" w:name="_Toc505346981"/>
      <w:bookmarkStart w:id="13" w:name="_Toc517190498"/>
      <w:r>
        <w:rPr>
          <w:rFonts w:eastAsia="仿宋_GB2312"/>
          <w:b/>
          <w:sz w:val="24"/>
        </w:rPr>
        <w:t xml:space="preserve">I. </w:t>
      </w:r>
      <w:bookmarkEnd w:id="12"/>
      <w:r>
        <w:rPr>
          <w:rFonts w:hint="eastAsia" w:eastAsia="仿宋_GB2312"/>
          <w:b/>
          <w:sz w:val="24"/>
        </w:rPr>
        <w:t>M</w:t>
      </w:r>
      <w:r>
        <w:rPr>
          <w:rFonts w:eastAsia="黑体"/>
          <w:b/>
          <w:sz w:val="24"/>
        </w:rPr>
        <w:t xml:space="preserve">onetary </w:t>
      </w:r>
      <w:r>
        <w:rPr>
          <w:b/>
          <w:sz w:val="24"/>
        </w:rPr>
        <w:t>a</w:t>
      </w:r>
      <w:r>
        <w:rPr>
          <w:rFonts w:eastAsia="黑体"/>
          <w:b/>
          <w:sz w:val="24"/>
        </w:rPr>
        <w:t xml:space="preserve">ggregates </w:t>
      </w:r>
      <w:r>
        <w:rPr>
          <w:rFonts w:hint="eastAsia" w:eastAsia="仿宋_GB2312"/>
          <w:b/>
          <w:sz w:val="24"/>
        </w:rPr>
        <w:t>grew steadily</w:t>
      </w:r>
      <w:bookmarkEnd w:id="13"/>
    </w:p>
    <w:p>
      <w:pPr>
        <w:rPr>
          <w:rFonts w:eastAsia="仿宋_GB2312"/>
          <w:sz w:val="24"/>
        </w:rPr>
      </w:pPr>
      <w:r>
        <w:rPr>
          <w:rFonts w:hint="eastAsia" w:eastAsia="仿宋_GB2312"/>
          <w:b/>
          <w:bCs/>
          <w:sz w:val="24"/>
        </w:rPr>
        <w:t>The growth of M2 was generally stable.</w:t>
      </w:r>
      <w:r>
        <w:rPr>
          <w:rFonts w:hint="eastAsia" w:eastAsia="仿宋_GB2312"/>
          <w:sz w:val="24"/>
        </w:rPr>
        <w:t xml:space="preserve"> </w:t>
      </w:r>
      <w:r>
        <w:rPr>
          <w:rFonts w:eastAsia="仿宋_GB2312"/>
          <w:sz w:val="24"/>
        </w:rPr>
        <w:t>At end-</w:t>
      </w:r>
      <w:r>
        <w:rPr>
          <w:rFonts w:hint="eastAsia" w:eastAsia="仿宋_GB2312"/>
          <w:sz w:val="24"/>
        </w:rPr>
        <w:t>March</w:t>
      </w:r>
      <w:r>
        <w:rPr>
          <w:rFonts w:eastAsia="仿宋_GB2312"/>
          <w:sz w:val="24"/>
        </w:rPr>
        <w:t>, outstanding M2 stood at RMB 1</w:t>
      </w:r>
      <w:r>
        <w:rPr>
          <w:rFonts w:hint="eastAsia" w:eastAsia="仿宋_GB2312"/>
          <w:sz w:val="24"/>
        </w:rPr>
        <w:t>74.0</w:t>
      </w:r>
      <w:r>
        <w:rPr>
          <w:rFonts w:eastAsia="仿宋_GB2312"/>
          <w:sz w:val="24"/>
        </w:rPr>
        <w:t xml:space="preserve"> trillion, up 8.2 percent year on year and representing a</w:t>
      </w:r>
      <w:r>
        <w:rPr>
          <w:rFonts w:hint="eastAsia" w:eastAsia="仿宋_GB2312"/>
          <w:sz w:val="24"/>
        </w:rPr>
        <w:t>n</w:t>
      </w:r>
      <w:r>
        <w:rPr>
          <w:rFonts w:eastAsia="仿宋_GB2312"/>
          <w:sz w:val="24"/>
        </w:rPr>
        <w:t xml:space="preserve"> </w:t>
      </w:r>
      <w:r>
        <w:rPr>
          <w:rFonts w:hint="eastAsia" w:eastAsia="仿宋_GB2312"/>
          <w:sz w:val="24"/>
        </w:rPr>
        <w:t>acceleration</w:t>
      </w:r>
      <w:r>
        <w:rPr>
          <w:rFonts w:eastAsia="仿宋_GB2312"/>
          <w:sz w:val="24"/>
        </w:rPr>
        <w:t xml:space="preserve"> of </w:t>
      </w:r>
      <w:r>
        <w:rPr>
          <w:rFonts w:hint="eastAsia" w:eastAsia="仿宋_GB2312"/>
          <w:sz w:val="24"/>
        </w:rPr>
        <w:t>0</w:t>
      </w:r>
      <w:r>
        <w:rPr>
          <w:rFonts w:eastAsia="仿宋_GB2312"/>
          <w:sz w:val="24"/>
        </w:rPr>
        <w:t>.1 percentage point from end-201</w:t>
      </w:r>
      <w:r>
        <w:rPr>
          <w:rFonts w:hint="eastAsia" w:eastAsia="仿宋_GB2312"/>
          <w:sz w:val="24"/>
        </w:rPr>
        <w:t>7</w:t>
      </w:r>
      <w:r>
        <w:rPr>
          <w:rFonts w:eastAsia="仿宋_GB2312"/>
          <w:sz w:val="24"/>
        </w:rPr>
        <w:t>. Outstanding M1 stood at RMB 5</w:t>
      </w:r>
      <w:r>
        <w:rPr>
          <w:rFonts w:hint="eastAsia" w:eastAsia="仿宋_GB2312"/>
          <w:sz w:val="24"/>
        </w:rPr>
        <w:t>2</w:t>
      </w:r>
      <w:r>
        <w:rPr>
          <w:rFonts w:eastAsia="仿宋_GB2312"/>
          <w:sz w:val="24"/>
        </w:rPr>
        <w:t xml:space="preserve">.4 trillion, up </w:t>
      </w:r>
      <w:r>
        <w:rPr>
          <w:rFonts w:hint="eastAsia" w:eastAsia="仿宋_GB2312"/>
          <w:sz w:val="24"/>
        </w:rPr>
        <w:t>7.1</w:t>
      </w:r>
      <w:r>
        <w:rPr>
          <w:rFonts w:eastAsia="仿宋_GB2312"/>
          <w:sz w:val="24"/>
        </w:rPr>
        <w:t xml:space="preserve"> percent year on year and representing a deceleration of </w:t>
      </w:r>
      <w:r>
        <w:rPr>
          <w:rFonts w:hint="eastAsia" w:eastAsia="仿宋_GB2312"/>
          <w:sz w:val="24"/>
        </w:rPr>
        <w:t>4.7</w:t>
      </w:r>
      <w:r>
        <w:rPr>
          <w:rFonts w:eastAsia="仿宋_GB2312"/>
          <w:sz w:val="24"/>
        </w:rPr>
        <w:t xml:space="preserve"> percentage points from end-201</w:t>
      </w:r>
      <w:r>
        <w:rPr>
          <w:rFonts w:hint="eastAsia" w:eastAsia="仿宋_GB2312"/>
          <w:sz w:val="24"/>
        </w:rPr>
        <w:t>7</w:t>
      </w:r>
      <w:r>
        <w:rPr>
          <w:rFonts w:eastAsia="仿宋_GB2312"/>
          <w:sz w:val="24"/>
        </w:rPr>
        <w:t>. Outstanding M0 reached RMB 7.</w:t>
      </w:r>
      <w:r>
        <w:rPr>
          <w:rFonts w:hint="eastAsia" w:eastAsia="仿宋_GB2312"/>
          <w:sz w:val="24"/>
        </w:rPr>
        <w:t>3</w:t>
      </w:r>
      <w:r>
        <w:rPr>
          <w:rFonts w:eastAsia="仿宋_GB2312"/>
          <w:sz w:val="24"/>
        </w:rPr>
        <w:t xml:space="preserve"> trillion, up </w:t>
      </w:r>
      <w:r>
        <w:rPr>
          <w:rFonts w:hint="eastAsia" w:eastAsia="仿宋_GB2312"/>
          <w:sz w:val="24"/>
        </w:rPr>
        <w:t>6.0</w:t>
      </w:r>
      <w:r>
        <w:rPr>
          <w:rFonts w:eastAsia="仿宋_GB2312"/>
          <w:sz w:val="24"/>
        </w:rPr>
        <w:t xml:space="preserve"> percent year on year. On a net basis, during </w:t>
      </w:r>
      <w:r>
        <w:rPr>
          <w:rFonts w:hint="eastAsia" w:eastAsia="仿宋_GB2312"/>
          <w:sz w:val="24"/>
        </w:rPr>
        <w:t>Q1</w:t>
      </w:r>
      <w:r>
        <w:rPr>
          <w:rFonts w:eastAsia="仿宋_GB2312"/>
          <w:sz w:val="24"/>
        </w:rPr>
        <w:t xml:space="preserve"> the PBC injected RMB 2</w:t>
      </w:r>
      <w:r>
        <w:rPr>
          <w:rFonts w:hint="eastAsia" w:eastAsia="仿宋_GB2312"/>
          <w:sz w:val="24"/>
        </w:rPr>
        <w:t>04.7</w:t>
      </w:r>
      <w:r>
        <w:rPr>
          <w:rFonts w:eastAsia="仿宋_GB2312"/>
          <w:sz w:val="24"/>
        </w:rPr>
        <w:t xml:space="preserve"> billion of cash into the system, </w:t>
      </w:r>
      <w:r>
        <w:rPr>
          <w:rFonts w:hint="eastAsia" w:eastAsia="仿宋_GB2312"/>
          <w:sz w:val="24"/>
        </w:rPr>
        <w:t>an increase of</w:t>
      </w:r>
      <w:r>
        <w:rPr>
          <w:rFonts w:eastAsia="仿宋_GB2312"/>
          <w:sz w:val="24"/>
        </w:rPr>
        <w:t xml:space="preserve"> RMB </w:t>
      </w:r>
      <w:r>
        <w:rPr>
          <w:rFonts w:hint="eastAsia" w:eastAsia="仿宋_GB2312"/>
          <w:sz w:val="24"/>
        </w:rPr>
        <w:t>1</w:t>
      </w:r>
      <w:r>
        <w:rPr>
          <w:rFonts w:eastAsia="仿宋_GB2312"/>
          <w:sz w:val="24"/>
        </w:rPr>
        <w:t>74.</w:t>
      </w:r>
      <w:r>
        <w:rPr>
          <w:rFonts w:hint="eastAsia" w:eastAsia="仿宋_GB2312"/>
          <w:sz w:val="24"/>
        </w:rPr>
        <w:t>6</w:t>
      </w:r>
      <w:r>
        <w:rPr>
          <w:rFonts w:eastAsia="仿宋_GB2312"/>
          <w:sz w:val="24"/>
        </w:rPr>
        <w:t xml:space="preserve"> billion</w:t>
      </w:r>
      <w:r>
        <w:rPr>
          <w:rFonts w:hint="eastAsia" w:eastAsia="仿宋_GB2312"/>
          <w:sz w:val="24"/>
        </w:rPr>
        <w:t xml:space="preserve"> year on year</w:t>
      </w:r>
      <w:r>
        <w:rPr>
          <w:rFonts w:eastAsia="仿宋_GB2312"/>
          <w:sz w:val="24"/>
        </w:rPr>
        <w:t>.</w:t>
      </w:r>
    </w:p>
    <w:p>
      <w:pPr>
        <w:rPr>
          <w:rFonts w:eastAsia="仿宋_GB2312"/>
          <w:sz w:val="24"/>
        </w:rPr>
      </w:pPr>
      <w:r>
        <w:rPr>
          <w:rFonts w:eastAsia="仿宋_GB2312"/>
          <w:sz w:val="24"/>
        </w:rPr>
        <w:t xml:space="preserve"> </w:t>
      </w:r>
    </w:p>
    <w:p>
      <w:pPr>
        <w:rPr>
          <w:rFonts w:eastAsia="仿宋_GB2312"/>
          <w:sz w:val="24"/>
        </w:rPr>
      </w:pPr>
      <w:r>
        <w:rPr>
          <w:rFonts w:eastAsia="仿宋_GB2312"/>
          <w:b/>
          <w:bCs/>
          <w:sz w:val="24"/>
        </w:rPr>
        <w:t xml:space="preserve">Due </w:t>
      </w:r>
      <w:r>
        <w:rPr>
          <w:rFonts w:hint="eastAsia" w:eastAsia="仿宋_GB2312"/>
          <w:b/>
          <w:bCs/>
          <w:sz w:val="24"/>
        </w:rPr>
        <w:t xml:space="preserve">to the coordinated and effective implementation of </w:t>
      </w:r>
      <w:r>
        <w:rPr>
          <w:rFonts w:eastAsia="仿宋_GB2312"/>
          <w:b/>
          <w:bCs/>
          <w:sz w:val="24"/>
        </w:rPr>
        <w:t xml:space="preserve">a </w:t>
      </w:r>
      <w:r>
        <w:rPr>
          <w:rFonts w:hint="eastAsia" w:eastAsia="仿宋_GB2312"/>
          <w:b/>
          <w:bCs/>
          <w:sz w:val="24"/>
        </w:rPr>
        <w:t>prudent and neutral monetary policy and financial</w:t>
      </w:r>
      <w:r>
        <w:rPr>
          <w:rFonts w:eastAsia="仿宋_GB2312"/>
          <w:b/>
          <w:bCs/>
          <w:sz w:val="24"/>
        </w:rPr>
        <w:t>-</w:t>
      </w:r>
      <w:r>
        <w:rPr>
          <w:rFonts w:hint="eastAsia" w:eastAsia="仿宋_GB2312"/>
          <w:b/>
          <w:bCs/>
          <w:sz w:val="24"/>
        </w:rPr>
        <w:t>regulation policy, M2 growth has stabilized.</w:t>
      </w:r>
      <w:r>
        <w:rPr>
          <w:rFonts w:hint="eastAsia" w:eastAsia="仿宋_GB2312"/>
          <w:sz w:val="24"/>
        </w:rPr>
        <w:t xml:space="preserve"> This will help control leverage within the financial system, reduce funds that circulate within the financial system through embedded structures, and stabilize leverage in the overall economy, supporting the battle </w:t>
      </w:r>
      <w:r>
        <w:rPr>
          <w:rFonts w:eastAsia="仿宋_GB2312"/>
          <w:sz w:val="24"/>
        </w:rPr>
        <w:t>to</w:t>
      </w:r>
      <w:r>
        <w:rPr>
          <w:rFonts w:hint="eastAsia" w:eastAsia="仿宋_GB2312"/>
          <w:sz w:val="24"/>
        </w:rPr>
        <w:t xml:space="preserve"> prevent and mitigat</w:t>
      </w:r>
      <w:r>
        <w:rPr>
          <w:rFonts w:eastAsia="仿宋_GB2312"/>
          <w:sz w:val="24"/>
        </w:rPr>
        <w:t>e</w:t>
      </w:r>
      <w:r>
        <w:rPr>
          <w:rFonts w:hint="eastAsia" w:eastAsia="仿宋_GB2312"/>
          <w:sz w:val="24"/>
        </w:rPr>
        <w:t xml:space="preserve"> major risks. With the deepening of financial markets and development of financial innovation</w:t>
      </w:r>
      <w:r>
        <w:rPr>
          <w:rFonts w:eastAsia="仿宋_GB2312"/>
          <w:sz w:val="24"/>
        </w:rPr>
        <w:t>s</w:t>
      </w:r>
      <w:r>
        <w:rPr>
          <w:rFonts w:hint="eastAsia" w:eastAsia="仿宋_GB2312"/>
          <w:sz w:val="24"/>
        </w:rPr>
        <w:t xml:space="preserve">, </w:t>
      </w:r>
      <w:r>
        <w:rPr>
          <w:rFonts w:eastAsia="仿宋_GB2312"/>
          <w:sz w:val="24"/>
        </w:rPr>
        <w:t xml:space="preserve">the </w:t>
      </w:r>
      <w:r>
        <w:rPr>
          <w:rFonts w:hint="eastAsia" w:eastAsia="仿宋_GB2312"/>
          <w:sz w:val="24"/>
        </w:rPr>
        <w:t xml:space="preserve">money supply </w:t>
      </w:r>
      <w:r>
        <w:rPr>
          <w:rFonts w:eastAsia="仿宋_GB2312"/>
          <w:sz w:val="24"/>
        </w:rPr>
        <w:t>will be</w:t>
      </w:r>
      <w:r>
        <w:rPr>
          <w:rFonts w:hint="eastAsia" w:eastAsia="仿宋_GB2312"/>
          <w:sz w:val="24"/>
        </w:rPr>
        <w:t xml:space="preserve"> subject to increasingly complicated factors. As a result, the measurability and controllability of M2 and its relevance to the real economy have all been weakening. Revising the scope of the M2 indicator does not </w:t>
      </w:r>
      <w:r>
        <w:rPr>
          <w:rFonts w:eastAsia="仿宋_GB2312"/>
          <w:sz w:val="24"/>
        </w:rPr>
        <w:t xml:space="preserve">fundamentally </w:t>
      </w:r>
      <w:r>
        <w:rPr>
          <w:rFonts w:hint="eastAsia" w:eastAsia="仿宋_GB2312"/>
          <w:sz w:val="24"/>
        </w:rPr>
        <w:t xml:space="preserve">resolve the declining effectiveness of </w:t>
      </w:r>
      <w:r>
        <w:rPr>
          <w:rFonts w:eastAsia="仿宋_GB2312"/>
          <w:sz w:val="24"/>
        </w:rPr>
        <w:t xml:space="preserve">the </w:t>
      </w:r>
      <w:r>
        <w:rPr>
          <w:rFonts w:hint="eastAsia" w:eastAsia="仿宋_GB2312"/>
          <w:sz w:val="24"/>
        </w:rPr>
        <w:t>quantitative indicators. In light of the requirement for high-quality development, it is necessary to follow the law</w:t>
      </w:r>
      <w:r>
        <w:rPr>
          <w:rFonts w:eastAsia="仿宋_GB2312"/>
          <w:sz w:val="24"/>
        </w:rPr>
        <w:t>s</w:t>
      </w:r>
      <w:r>
        <w:rPr>
          <w:rFonts w:hint="eastAsia" w:eastAsia="仿宋_GB2312"/>
          <w:sz w:val="24"/>
        </w:rPr>
        <w:t xml:space="preserve"> of economic and financial development and </w:t>
      </w:r>
      <w:r>
        <w:rPr>
          <w:rFonts w:eastAsia="仿宋_GB2312"/>
          <w:sz w:val="24"/>
        </w:rPr>
        <w:t xml:space="preserve">to </w:t>
      </w:r>
      <w:r>
        <w:rPr>
          <w:rFonts w:hint="eastAsia" w:eastAsia="仿宋_GB2312"/>
          <w:sz w:val="24"/>
        </w:rPr>
        <w:t>transform the method of macroeconomic management by gradually shifting from quantity-based indicators to interest</w:t>
      </w:r>
      <w:r>
        <w:rPr>
          <w:rFonts w:eastAsia="仿宋_GB2312"/>
          <w:sz w:val="24"/>
        </w:rPr>
        <w:t xml:space="preserve"> </w:t>
      </w:r>
      <w:r>
        <w:rPr>
          <w:rFonts w:hint="eastAsia" w:eastAsia="仿宋_GB2312"/>
          <w:sz w:val="24"/>
        </w:rPr>
        <w:t xml:space="preserve">rates and other price-based indicators.   </w:t>
      </w:r>
    </w:p>
    <w:p>
      <w:pPr>
        <w:rPr>
          <w:rFonts w:eastAsia="仿宋_GB2312"/>
          <w:sz w:val="24"/>
        </w:rPr>
      </w:pPr>
    </w:p>
    <w:p>
      <w:pPr>
        <w:rPr>
          <w:rFonts w:eastAsia="仿宋_GB2312"/>
          <w:sz w:val="24"/>
        </w:rPr>
      </w:pPr>
      <w:r>
        <w:rPr>
          <w:rFonts w:eastAsia="仿宋_GB2312"/>
          <w:sz w:val="24"/>
        </w:rPr>
        <w:t>At end-</w:t>
      </w:r>
      <w:r>
        <w:rPr>
          <w:rFonts w:hint="eastAsia" w:eastAsia="仿宋_GB2312"/>
          <w:sz w:val="24"/>
        </w:rPr>
        <w:t>March</w:t>
      </w:r>
      <w:r>
        <w:rPr>
          <w:rFonts w:eastAsia="仿宋_GB2312"/>
          <w:sz w:val="24"/>
        </w:rPr>
        <w:t>, base money stood at RMB 32.</w:t>
      </w:r>
      <w:r>
        <w:rPr>
          <w:rFonts w:hint="eastAsia" w:eastAsia="仿宋_GB2312"/>
          <w:sz w:val="24"/>
        </w:rPr>
        <w:t>1</w:t>
      </w:r>
      <w:r>
        <w:rPr>
          <w:rFonts w:eastAsia="仿宋_GB2312"/>
          <w:sz w:val="24"/>
        </w:rPr>
        <w:t xml:space="preserve"> trillion, representing </w:t>
      </w:r>
      <w:r>
        <w:rPr>
          <w:rFonts w:hint="eastAsia" w:eastAsia="仿宋_GB2312"/>
          <w:sz w:val="24"/>
        </w:rPr>
        <w:t>a de</w:t>
      </w:r>
      <w:r>
        <w:rPr>
          <w:rFonts w:eastAsia="仿宋_GB2312"/>
          <w:sz w:val="24"/>
        </w:rPr>
        <w:t xml:space="preserve">crease of RMB </w:t>
      </w:r>
      <w:r>
        <w:rPr>
          <w:rFonts w:hint="eastAsia" w:eastAsia="仿宋_GB2312"/>
          <w:sz w:val="24"/>
        </w:rPr>
        <w:t>52.1 b</w:t>
      </w:r>
      <w:r>
        <w:rPr>
          <w:rFonts w:eastAsia="仿宋_GB2312"/>
          <w:sz w:val="24"/>
        </w:rPr>
        <w:t>illion from the beginning of the year</w:t>
      </w:r>
      <w:r>
        <w:rPr>
          <w:rFonts w:hint="eastAsia" w:eastAsia="仿宋_GB2312"/>
          <w:sz w:val="24"/>
        </w:rPr>
        <w:t xml:space="preserve"> and a decline of RMB 607.1 billion year on year</w:t>
      </w:r>
      <w:r>
        <w:rPr>
          <w:rFonts w:eastAsia="仿宋_GB2312"/>
          <w:sz w:val="24"/>
        </w:rPr>
        <w:t>. The money multiplier was 5.</w:t>
      </w:r>
      <w:r>
        <w:rPr>
          <w:rFonts w:hint="eastAsia" w:eastAsia="仿宋_GB2312"/>
          <w:sz w:val="24"/>
        </w:rPr>
        <w:t>4</w:t>
      </w:r>
      <w:r>
        <w:rPr>
          <w:rFonts w:eastAsia="仿宋_GB2312"/>
          <w:sz w:val="24"/>
        </w:rPr>
        <w:t xml:space="preserve">1. The overall excess reserve ratio of financial institutions was </w:t>
      </w:r>
      <w:r>
        <w:rPr>
          <w:rFonts w:hint="eastAsia" w:eastAsia="仿宋_GB2312"/>
          <w:sz w:val="24"/>
        </w:rPr>
        <w:t>1.3</w:t>
      </w:r>
      <w:r>
        <w:rPr>
          <w:rFonts w:eastAsia="仿宋_GB2312"/>
          <w:sz w:val="24"/>
        </w:rPr>
        <w:t xml:space="preserve"> percent and the overall excess reserve ratio of rural credit cooperatives was </w:t>
      </w:r>
      <w:r>
        <w:rPr>
          <w:rFonts w:hint="eastAsia" w:eastAsia="仿宋_GB2312"/>
          <w:sz w:val="24"/>
        </w:rPr>
        <w:t>9.4</w:t>
      </w:r>
      <w:r>
        <w:rPr>
          <w:rFonts w:eastAsia="仿宋_GB2312"/>
          <w:sz w:val="24"/>
        </w:rPr>
        <w:t xml:space="preserve"> percent. </w:t>
      </w:r>
    </w:p>
    <w:p>
      <w:pPr>
        <w:rPr>
          <w:rFonts w:eastAsia="仿宋_GB2312"/>
          <w:sz w:val="24"/>
        </w:rPr>
      </w:pPr>
    </w:p>
    <w:p>
      <w:pPr>
        <w:rPr>
          <w:rFonts w:eastAsia="仿宋_GB2312"/>
          <w:sz w:val="24"/>
        </w:rPr>
      </w:pPr>
      <w:r>
        <w:rPr>
          <w:rFonts w:hint="eastAsia" w:eastAsia="仿宋_GB2312"/>
          <w:sz w:val="24"/>
        </w:rPr>
        <w:t xml:space="preserve">  </w:t>
      </w:r>
    </w:p>
    <w:p>
      <w:pPr>
        <w:keepNext/>
        <w:jc w:val="center"/>
        <w:rPr>
          <w:b/>
          <w:sz w:val="24"/>
        </w:rPr>
      </w:pPr>
      <w:bookmarkStart w:id="14" w:name="_Toc517190899"/>
      <w:r>
        <w:rPr>
          <w:b/>
          <w:sz w:val="24"/>
        </w:rPr>
        <w:t xml:space="preserve">Figure </w:t>
      </w:r>
      <w:r>
        <w:rPr>
          <w:b/>
          <w:sz w:val="24"/>
        </w:rPr>
        <w:fldChar w:fldCharType="begin"/>
      </w:r>
      <w:r>
        <w:rPr>
          <w:b/>
          <w:sz w:val="24"/>
        </w:rPr>
        <w:instrText xml:space="preserve"> SEQ Figure \* ARABIC </w:instrText>
      </w:r>
      <w:r>
        <w:rPr>
          <w:b/>
          <w:sz w:val="24"/>
        </w:rPr>
        <w:fldChar w:fldCharType="separate"/>
      </w:r>
      <w:r>
        <w:rPr>
          <w:b/>
          <w:sz w:val="24"/>
        </w:rPr>
        <w:t>1</w:t>
      </w:r>
      <w:r>
        <w:rPr>
          <w:b/>
          <w:sz w:val="24"/>
        </w:rPr>
        <w:fldChar w:fldCharType="end"/>
      </w:r>
      <w:r>
        <w:rPr>
          <w:rFonts w:eastAsia="仿宋_GB2312"/>
          <w:b/>
          <w:sz w:val="24"/>
        </w:rPr>
        <w:t>. Growth of money supply</w:t>
      </w:r>
      <w:bookmarkEnd w:id="14"/>
    </w:p>
    <w:p>
      <w:pPr>
        <w:rPr>
          <w:rFonts w:eastAsia="仿宋_GB2312"/>
          <w:sz w:val="24"/>
        </w:rPr>
      </w:pPr>
      <w:r>
        <w:drawing>
          <wp:inline distT="0" distB="0" distL="0" distR="0">
            <wp:extent cx="5273675" cy="2637155"/>
            <wp:effectExtent l="19050" t="0" r="317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9"/>
                    <a:srcRect/>
                    <a:stretch>
                      <a:fillRect/>
                    </a:stretch>
                  </pic:blipFill>
                  <pic:spPr>
                    <a:xfrm>
                      <a:off x="0" y="0"/>
                      <a:ext cx="5273675" cy="2637155"/>
                    </a:xfrm>
                    <a:prstGeom prst="rect">
                      <a:avLst/>
                    </a:prstGeom>
                    <a:noFill/>
                    <a:ln w="9525" cmpd="sng">
                      <a:noFill/>
                      <a:miter lim="800000"/>
                      <a:headEnd/>
                      <a:tailEnd/>
                    </a:ln>
                  </pic:spPr>
                </pic:pic>
              </a:graphicData>
            </a:graphic>
          </wp:inline>
        </w:drawing>
      </w:r>
    </w:p>
    <w:p>
      <w:pPr>
        <w:rPr>
          <w:rFonts w:eastAsia="仿宋_GB2312"/>
          <w:sz w:val="24"/>
        </w:rPr>
      </w:pPr>
      <w:r>
        <w:rPr>
          <w:rFonts w:eastAsia="仿宋_GB2312"/>
          <w:sz w:val="24"/>
        </w:rPr>
        <w:t>Source: People’s Bank of China.</w:t>
      </w:r>
    </w:p>
    <w:p>
      <w:pPr>
        <w:rPr>
          <w:rFonts w:eastAsia="仿宋_GB2312"/>
          <w:sz w:val="24"/>
        </w:rPr>
      </w:pPr>
    </w:p>
    <w:p>
      <w:pPr>
        <w:rPr>
          <w:rFonts w:eastAsia="仿宋_GB2312"/>
          <w:sz w:val="24"/>
        </w:rPr>
      </w:pPr>
    </w:p>
    <w:p>
      <w:pPr>
        <w:keepNext/>
        <w:keepLines/>
        <w:widowControl/>
        <w:adjustRightInd w:val="0"/>
        <w:spacing w:before="20" w:after="20"/>
        <w:outlineLvl w:val="1"/>
        <w:rPr>
          <w:rFonts w:eastAsia="仿宋_GB2312"/>
          <w:b/>
          <w:sz w:val="24"/>
        </w:rPr>
      </w:pPr>
      <w:bookmarkStart w:id="15" w:name="_Toc517190499"/>
      <w:r>
        <w:rPr>
          <w:rFonts w:eastAsia="黑体"/>
          <w:b/>
          <w:sz w:val="24"/>
        </w:rPr>
        <w:t xml:space="preserve">II. </w:t>
      </w:r>
      <w:r>
        <w:rPr>
          <w:rFonts w:hint="eastAsia" w:eastAsia="黑体"/>
          <w:b/>
          <w:sz w:val="24"/>
        </w:rPr>
        <w:t xml:space="preserve">The share of </w:t>
      </w:r>
      <w:r>
        <w:rPr>
          <w:rFonts w:eastAsia="黑体"/>
          <w:b/>
          <w:sz w:val="24"/>
        </w:rPr>
        <w:t xml:space="preserve">RMB </w:t>
      </w:r>
      <w:r>
        <w:rPr>
          <w:rFonts w:hint="eastAsia" w:eastAsia="黑体"/>
          <w:b/>
          <w:sz w:val="24"/>
        </w:rPr>
        <w:t xml:space="preserve">term </w:t>
      </w:r>
      <w:r>
        <w:rPr>
          <w:rFonts w:eastAsia="黑体"/>
          <w:b/>
          <w:sz w:val="24"/>
        </w:rPr>
        <w:t xml:space="preserve">deposits in financial institutions </w:t>
      </w:r>
      <w:r>
        <w:rPr>
          <w:rFonts w:hint="eastAsia" w:eastAsia="黑体"/>
          <w:b/>
          <w:sz w:val="24"/>
        </w:rPr>
        <w:t>increased</w:t>
      </w:r>
      <w:bookmarkEnd w:id="15"/>
      <w:r>
        <w:rPr>
          <w:rFonts w:eastAsia="仿宋_GB2312"/>
          <w:b/>
          <w:sz w:val="24"/>
        </w:rPr>
        <w:t xml:space="preserve"> </w:t>
      </w:r>
    </w:p>
    <w:p>
      <w:pPr>
        <w:textAlignment w:val="center"/>
        <w:rPr>
          <w:rFonts w:eastAsia="仿宋_GB2312"/>
          <w:sz w:val="24"/>
        </w:rPr>
      </w:pPr>
      <w:r>
        <w:rPr>
          <w:rFonts w:hint="eastAsia" w:eastAsia="仿宋_GB2312"/>
          <w:b/>
          <w:bCs/>
          <w:sz w:val="24"/>
        </w:rPr>
        <w:t>The growth of deposits slowed down slightly.</w:t>
      </w:r>
      <w:r>
        <w:rPr>
          <w:rFonts w:hint="eastAsia" w:eastAsia="仿宋_GB2312"/>
          <w:sz w:val="24"/>
        </w:rPr>
        <w:t xml:space="preserve"> </w:t>
      </w:r>
      <w:r>
        <w:rPr>
          <w:rFonts w:eastAsia="仿宋_GB2312"/>
          <w:sz w:val="24"/>
        </w:rPr>
        <w:t>At end-</w:t>
      </w:r>
      <w:r>
        <w:rPr>
          <w:rFonts w:hint="eastAsia" w:eastAsia="仿宋_GB2312"/>
          <w:sz w:val="24"/>
        </w:rPr>
        <w:t>March</w:t>
      </w:r>
      <w:r>
        <w:rPr>
          <w:rFonts w:eastAsia="仿宋_GB2312"/>
          <w:sz w:val="24"/>
        </w:rPr>
        <w:t>, outstanding deposits in domestic and foreign currencies in all financial institutions posted RMB 1</w:t>
      </w:r>
      <w:r>
        <w:rPr>
          <w:rFonts w:hint="eastAsia" w:eastAsia="仿宋_GB2312"/>
          <w:sz w:val="24"/>
        </w:rPr>
        <w:t>74.4</w:t>
      </w:r>
      <w:r>
        <w:rPr>
          <w:rFonts w:eastAsia="仿宋_GB2312"/>
          <w:sz w:val="24"/>
        </w:rPr>
        <w:t xml:space="preserve"> trillion, up 8.</w:t>
      </w:r>
      <w:r>
        <w:rPr>
          <w:rFonts w:hint="eastAsia" w:eastAsia="仿宋_GB2312"/>
          <w:sz w:val="24"/>
        </w:rPr>
        <w:t>4</w:t>
      </w:r>
      <w:r>
        <w:rPr>
          <w:rFonts w:eastAsia="仿宋_GB2312"/>
          <w:sz w:val="24"/>
        </w:rPr>
        <w:t xml:space="preserve"> percent year on year and</w:t>
      </w:r>
      <w:r>
        <w:rPr>
          <w:rFonts w:hint="eastAsia" w:eastAsia="仿宋_GB2312"/>
          <w:sz w:val="24"/>
        </w:rPr>
        <w:t xml:space="preserve"> representing a deceleration of 0.4 percentage point from end-2017</w:t>
      </w:r>
      <w:r>
        <w:rPr>
          <w:rFonts w:eastAsia="仿宋_GB2312"/>
          <w:sz w:val="24"/>
        </w:rPr>
        <w:t xml:space="preserve">. This marked an increase of RMB </w:t>
      </w:r>
      <w:r>
        <w:rPr>
          <w:rFonts w:hint="eastAsia" w:eastAsia="仿宋_GB2312"/>
          <w:sz w:val="24"/>
        </w:rPr>
        <w:t>5.2</w:t>
      </w:r>
      <w:r>
        <w:rPr>
          <w:rFonts w:eastAsia="仿宋_GB2312"/>
          <w:sz w:val="24"/>
        </w:rPr>
        <w:t xml:space="preserve"> trillion from the beginning of the year, which was RMB </w:t>
      </w:r>
      <w:r>
        <w:rPr>
          <w:rFonts w:hint="eastAsia" w:eastAsia="仿宋_GB2312"/>
          <w:sz w:val="24"/>
        </w:rPr>
        <w:t>279.9 b</w:t>
      </w:r>
      <w:r>
        <w:rPr>
          <w:rFonts w:eastAsia="仿宋_GB2312"/>
          <w:sz w:val="24"/>
        </w:rPr>
        <w:t xml:space="preserve">illion less </w:t>
      </w:r>
      <w:r>
        <w:rPr>
          <w:rFonts w:hint="eastAsia" w:eastAsia="仿宋_GB2312"/>
          <w:sz w:val="24"/>
        </w:rPr>
        <w:t>year on year</w:t>
      </w:r>
      <w:r>
        <w:rPr>
          <w:rFonts w:eastAsia="仿宋_GB2312"/>
          <w:sz w:val="24"/>
        </w:rPr>
        <w:t>. Outstanding RMB deposits registered RMB 16</w:t>
      </w:r>
      <w:r>
        <w:rPr>
          <w:rFonts w:hint="eastAsia" w:eastAsia="仿宋_GB2312"/>
          <w:sz w:val="24"/>
        </w:rPr>
        <w:t>9.2</w:t>
      </w:r>
      <w:r>
        <w:rPr>
          <w:rFonts w:eastAsia="仿宋_GB2312"/>
          <w:sz w:val="24"/>
        </w:rPr>
        <w:t xml:space="preserve"> trillion, up </w:t>
      </w:r>
      <w:r>
        <w:rPr>
          <w:rFonts w:hint="eastAsia" w:eastAsia="仿宋_GB2312"/>
          <w:sz w:val="24"/>
        </w:rPr>
        <w:t>8.7</w:t>
      </w:r>
      <w:r>
        <w:rPr>
          <w:rFonts w:eastAsia="仿宋_GB2312"/>
          <w:sz w:val="24"/>
        </w:rPr>
        <w:t xml:space="preserve"> percent year on year and</w:t>
      </w:r>
      <w:r>
        <w:rPr>
          <w:rFonts w:hint="eastAsia" w:eastAsia="仿宋_GB2312"/>
          <w:sz w:val="24"/>
        </w:rPr>
        <w:t xml:space="preserve"> a deceleration of 0.3 percentage point from end-2017</w:t>
      </w:r>
      <w:r>
        <w:rPr>
          <w:rFonts w:eastAsia="仿宋_GB2312"/>
          <w:sz w:val="24"/>
        </w:rPr>
        <w:t xml:space="preserve">. This represented an increase of RMB </w:t>
      </w:r>
      <w:r>
        <w:rPr>
          <w:rFonts w:hint="eastAsia" w:eastAsia="仿宋_GB2312"/>
          <w:sz w:val="24"/>
        </w:rPr>
        <w:t>5.1</w:t>
      </w:r>
      <w:r>
        <w:rPr>
          <w:rFonts w:eastAsia="仿宋_GB2312"/>
          <w:sz w:val="24"/>
        </w:rPr>
        <w:t xml:space="preserve"> trillion from the beginning of the year, which was RMB </w:t>
      </w:r>
      <w:r>
        <w:rPr>
          <w:rFonts w:hint="eastAsia" w:eastAsia="仿宋_GB2312"/>
          <w:sz w:val="24"/>
        </w:rPr>
        <w:t>7.7 b</w:t>
      </w:r>
      <w:r>
        <w:rPr>
          <w:rFonts w:eastAsia="仿宋_GB2312"/>
          <w:sz w:val="24"/>
        </w:rPr>
        <w:t xml:space="preserve">illion </w:t>
      </w:r>
      <w:r>
        <w:rPr>
          <w:rFonts w:hint="eastAsia" w:eastAsia="仿宋_GB2312"/>
          <w:sz w:val="24"/>
        </w:rPr>
        <w:t>more</w:t>
      </w:r>
      <w:r>
        <w:rPr>
          <w:rFonts w:eastAsia="仿宋_GB2312"/>
          <w:sz w:val="24"/>
        </w:rPr>
        <w:t xml:space="preserve"> </w:t>
      </w:r>
      <w:r>
        <w:rPr>
          <w:rFonts w:hint="eastAsia" w:eastAsia="仿宋_GB2312"/>
          <w:sz w:val="24"/>
        </w:rPr>
        <w:t>year on year</w:t>
      </w:r>
      <w:r>
        <w:rPr>
          <w:rFonts w:eastAsia="仿宋_GB2312"/>
          <w:sz w:val="24"/>
        </w:rPr>
        <w:t>. Outstanding deposits in foreign currencies stood at USD</w:t>
      </w:r>
      <w:r>
        <w:rPr>
          <w:rFonts w:hint="eastAsia" w:eastAsia="仿宋_GB2312"/>
          <w:sz w:val="24"/>
        </w:rPr>
        <w:t xml:space="preserve"> 836.8</w:t>
      </w:r>
      <w:r>
        <w:rPr>
          <w:rFonts w:eastAsia="仿宋_GB2312"/>
          <w:sz w:val="24"/>
        </w:rPr>
        <w:t xml:space="preserve"> billion, an increase of USD </w:t>
      </w:r>
      <w:r>
        <w:rPr>
          <w:rFonts w:hint="eastAsia" w:eastAsia="仿宋_GB2312"/>
          <w:sz w:val="24"/>
        </w:rPr>
        <w:t>45</w:t>
      </w:r>
      <w:r>
        <w:rPr>
          <w:rFonts w:eastAsia="仿宋_GB2312"/>
          <w:sz w:val="24"/>
        </w:rPr>
        <w:t xml:space="preserve">.9 billion from the beginning of the year, which was USD </w:t>
      </w:r>
      <w:r>
        <w:rPr>
          <w:rFonts w:hint="eastAsia" w:eastAsia="仿宋_GB2312"/>
          <w:sz w:val="24"/>
        </w:rPr>
        <w:t>13.3</w:t>
      </w:r>
      <w:r>
        <w:rPr>
          <w:rFonts w:eastAsia="仿宋_GB2312"/>
          <w:sz w:val="24"/>
        </w:rPr>
        <w:t xml:space="preserve"> billion less </w:t>
      </w:r>
      <w:r>
        <w:rPr>
          <w:rFonts w:hint="eastAsia" w:eastAsia="仿宋_GB2312"/>
          <w:sz w:val="24"/>
        </w:rPr>
        <w:t>year on year</w:t>
      </w:r>
      <w:r>
        <w:rPr>
          <w:rFonts w:eastAsia="仿宋_GB2312"/>
          <w:sz w:val="24"/>
        </w:rPr>
        <w:t xml:space="preserve">.  </w:t>
      </w:r>
    </w:p>
    <w:p>
      <w:pPr>
        <w:rPr>
          <w:rFonts w:eastAsia="仿宋_GB2312"/>
          <w:sz w:val="24"/>
        </w:rPr>
      </w:pPr>
    </w:p>
    <w:p>
      <w:pPr>
        <w:rPr>
          <w:rFonts w:eastAsia="仿宋_GB2312"/>
          <w:sz w:val="24"/>
        </w:rPr>
      </w:pPr>
      <w:r>
        <w:rPr>
          <w:rFonts w:hint="eastAsia" w:eastAsia="仿宋_GB2312"/>
          <w:b/>
          <w:bCs/>
          <w:sz w:val="24"/>
        </w:rPr>
        <w:t xml:space="preserve">The share of term deposits increased. </w:t>
      </w:r>
      <w:r>
        <w:rPr>
          <w:rFonts w:eastAsia="仿宋_GB2312"/>
          <w:sz w:val="24"/>
        </w:rPr>
        <w:t xml:space="preserve">In </w:t>
      </w:r>
      <w:r>
        <w:rPr>
          <w:rFonts w:hint="eastAsia" w:eastAsia="仿宋_GB2312"/>
          <w:sz w:val="24"/>
        </w:rPr>
        <w:t>Q1 of 2018</w:t>
      </w:r>
      <w:r>
        <w:rPr>
          <w:rFonts w:eastAsia="仿宋_GB2312"/>
          <w:sz w:val="24"/>
        </w:rPr>
        <w:t xml:space="preserve">, </w:t>
      </w:r>
      <w:r>
        <w:rPr>
          <w:rFonts w:hint="eastAsia" w:eastAsia="仿宋_GB2312"/>
          <w:sz w:val="24"/>
        </w:rPr>
        <w:t>term</w:t>
      </w:r>
      <w:r>
        <w:rPr>
          <w:rFonts w:eastAsia="仿宋_GB2312"/>
          <w:sz w:val="24"/>
        </w:rPr>
        <w:t xml:space="preserve"> deposits accounted for </w:t>
      </w:r>
      <w:r>
        <w:rPr>
          <w:rFonts w:hint="eastAsia" w:eastAsia="仿宋_GB2312"/>
          <w:sz w:val="24"/>
        </w:rPr>
        <w:t>122.8</w:t>
      </w:r>
      <w:r>
        <w:rPr>
          <w:rFonts w:eastAsia="仿宋_GB2312"/>
          <w:sz w:val="24"/>
        </w:rPr>
        <w:t xml:space="preserve"> percent of new deposits by households and non-financial enterprises, </w:t>
      </w:r>
      <w:r>
        <w:rPr>
          <w:rFonts w:hint="eastAsia" w:eastAsia="仿宋_GB2312"/>
          <w:sz w:val="24"/>
        </w:rPr>
        <w:t>up 40.1</w:t>
      </w:r>
      <w:r>
        <w:rPr>
          <w:rFonts w:eastAsia="仿宋_GB2312"/>
          <w:sz w:val="24"/>
        </w:rPr>
        <w:t xml:space="preserve"> percentage points </w:t>
      </w:r>
      <w:r>
        <w:rPr>
          <w:rFonts w:hint="eastAsia" w:eastAsia="仿宋_GB2312"/>
          <w:sz w:val="24"/>
        </w:rPr>
        <w:t>year on year</w:t>
      </w:r>
      <w:r>
        <w:rPr>
          <w:rFonts w:eastAsia="仿宋_GB2312"/>
          <w:sz w:val="24"/>
        </w:rPr>
        <w:t>. Broken down by sectors, deposits by households and non-banking financial institutions</w:t>
      </w:r>
      <w:r>
        <w:rPr>
          <w:rFonts w:hint="eastAsia" w:eastAsia="仿宋_GB2312"/>
          <w:sz w:val="24"/>
        </w:rPr>
        <w:t xml:space="preserve"> </w:t>
      </w:r>
      <w:r>
        <w:rPr>
          <w:rFonts w:eastAsia="仿宋_GB2312"/>
          <w:sz w:val="24"/>
        </w:rPr>
        <w:t xml:space="preserve">registered a year-on-year </w:t>
      </w:r>
      <w:r>
        <w:rPr>
          <w:rFonts w:hint="eastAsia" w:eastAsia="仿宋_GB2312"/>
          <w:sz w:val="24"/>
        </w:rPr>
        <w:t>ac</w:t>
      </w:r>
      <w:r>
        <w:rPr>
          <w:rFonts w:eastAsia="仿宋_GB2312"/>
          <w:sz w:val="24"/>
        </w:rPr>
        <w:t xml:space="preserve">celeration of RMB </w:t>
      </w:r>
      <w:r>
        <w:rPr>
          <w:rFonts w:hint="eastAsia" w:eastAsia="仿宋_GB2312"/>
          <w:sz w:val="24"/>
        </w:rPr>
        <w:t>310</w:t>
      </w:r>
      <w:r>
        <w:rPr>
          <w:rFonts w:eastAsia="仿宋_GB2312"/>
          <w:sz w:val="24"/>
        </w:rPr>
        <w:t xml:space="preserve">.9 billion and RMB </w:t>
      </w:r>
      <w:r>
        <w:rPr>
          <w:rFonts w:hint="eastAsia" w:eastAsia="仿宋_GB2312"/>
          <w:sz w:val="24"/>
        </w:rPr>
        <w:t>1.4</w:t>
      </w:r>
      <w:r>
        <w:rPr>
          <w:rFonts w:eastAsia="仿宋_GB2312"/>
          <w:sz w:val="24"/>
        </w:rPr>
        <w:t xml:space="preserve"> trillion, respectively, whereas deposits by non-financial enterprises recorded a year-on-year </w:t>
      </w:r>
      <w:r>
        <w:rPr>
          <w:rFonts w:hint="eastAsia" w:eastAsia="仿宋_GB2312"/>
          <w:sz w:val="24"/>
        </w:rPr>
        <w:t>de</w:t>
      </w:r>
      <w:r>
        <w:rPr>
          <w:rFonts w:eastAsia="仿宋_GB2312"/>
          <w:sz w:val="24"/>
        </w:rPr>
        <w:t>celeration of RMB 1.</w:t>
      </w:r>
      <w:r>
        <w:rPr>
          <w:rFonts w:hint="eastAsia" w:eastAsia="仿宋_GB2312"/>
          <w:sz w:val="24"/>
        </w:rPr>
        <w:t>4</w:t>
      </w:r>
      <w:r>
        <w:rPr>
          <w:rFonts w:eastAsia="仿宋_GB2312"/>
          <w:sz w:val="24"/>
        </w:rPr>
        <w:t xml:space="preserve"> trillion.</w:t>
      </w:r>
    </w:p>
    <w:p>
      <w:pPr>
        <w:rPr>
          <w:rFonts w:eastAsia="仿宋_GB2312"/>
          <w:sz w:val="24"/>
        </w:rPr>
      </w:pPr>
    </w:p>
    <w:p>
      <w:pPr>
        <w:keepNext/>
        <w:jc w:val="center"/>
        <w:rPr>
          <w:b/>
          <w:sz w:val="24"/>
        </w:rPr>
      </w:pPr>
      <w:bookmarkStart w:id="16" w:name="_Toc517190856"/>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1</w:t>
      </w:r>
      <w:r>
        <w:rPr>
          <w:b/>
          <w:sz w:val="24"/>
        </w:rPr>
        <w:fldChar w:fldCharType="end"/>
      </w:r>
      <w:r>
        <w:rPr>
          <w:b/>
          <w:sz w:val="24"/>
        </w:rPr>
        <w:t xml:space="preserve">. Structure of RMB Deposits in </w:t>
      </w:r>
      <w:r>
        <w:rPr>
          <w:rFonts w:hint="eastAsia"/>
          <w:b/>
          <w:sz w:val="24"/>
        </w:rPr>
        <w:t xml:space="preserve">Q1 of </w:t>
      </w:r>
      <w:r>
        <w:rPr>
          <w:b/>
          <w:sz w:val="24"/>
        </w:rPr>
        <w:t>201</w:t>
      </w:r>
      <w:r>
        <w:rPr>
          <w:rFonts w:hint="eastAsia"/>
          <w:b/>
          <w:sz w:val="24"/>
        </w:rPr>
        <w:t>8</w:t>
      </w:r>
      <w:bookmarkEnd w:id="16"/>
    </w:p>
    <w:p>
      <w:pPr>
        <w:ind w:right="210"/>
        <w:jc w:val="right"/>
        <w:rPr>
          <w:sz w:val="24"/>
        </w:rPr>
      </w:pPr>
      <w:r>
        <w:rPr>
          <w:sz w:val="24"/>
        </w:rPr>
        <w:t>RMB 100 million</w:t>
      </w:r>
    </w:p>
    <w:tbl>
      <w:tblPr>
        <w:tblStyle w:val="96"/>
        <w:tblW w:w="8115" w:type="dxa"/>
        <w:jc w:val="center"/>
        <w:tblInd w:w="0" w:type="dxa"/>
        <w:tblLayout w:type="fixed"/>
        <w:tblCellMar>
          <w:top w:w="0" w:type="dxa"/>
          <w:left w:w="0" w:type="dxa"/>
          <w:bottom w:w="0" w:type="dxa"/>
          <w:right w:w="0" w:type="dxa"/>
        </w:tblCellMar>
      </w:tblPr>
      <w:tblGrid>
        <w:gridCol w:w="2315"/>
        <w:gridCol w:w="1371"/>
        <w:gridCol w:w="1134"/>
        <w:gridCol w:w="1748"/>
        <w:gridCol w:w="1547"/>
      </w:tblGrid>
      <w:tr>
        <w:tblPrEx>
          <w:tblLayout w:type="fixed"/>
          <w:tblCellMar>
            <w:top w:w="0" w:type="dxa"/>
            <w:left w:w="0" w:type="dxa"/>
            <w:bottom w:w="0" w:type="dxa"/>
            <w:right w:w="0" w:type="dxa"/>
          </w:tblCellMar>
        </w:tblPrEx>
        <w:trPr>
          <w:trHeight w:val="315" w:hRule="atLeast"/>
          <w:jc w:val="center"/>
        </w:trPr>
        <w:tc>
          <w:tcPr>
            <w:tcW w:w="2315" w:type="dxa"/>
            <w:tcBorders>
              <w:top w:val="single" w:color="339966" w:sz="12" w:space="0"/>
              <w:left w:val="nil"/>
              <w:bottom w:val="single" w:color="339966" w:sz="12" w:space="0"/>
              <w:right w:val="single" w:color="339966" w:sz="4" w:space="0"/>
            </w:tcBorders>
            <w:shd w:val="clear" w:color="auto" w:fill="CCFFCC"/>
            <w:vAlign w:val="center"/>
          </w:tcPr>
          <w:p>
            <w:pPr>
              <w:rPr>
                <w:sz w:val="18"/>
                <w:szCs w:val="18"/>
              </w:rPr>
            </w:pPr>
            <w:r>
              <w:rPr>
                <w:sz w:val="18"/>
                <w:szCs w:val="18"/>
              </w:rPr>
              <w:t>　</w:t>
            </w:r>
          </w:p>
        </w:tc>
        <w:tc>
          <w:tcPr>
            <w:tcW w:w="1371" w:type="dxa"/>
            <w:tcBorders>
              <w:top w:val="single" w:color="339966" w:sz="12" w:space="0"/>
              <w:left w:val="nil"/>
              <w:bottom w:val="single" w:color="339966" w:sz="12" w:space="0"/>
              <w:right w:val="single" w:color="339966" w:sz="6" w:space="0"/>
            </w:tcBorders>
            <w:shd w:val="clear" w:color="auto" w:fill="CCFFCC"/>
            <w:vAlign w:val="center"/>
          </w:tcPr>
          <w:p>
            <w:pPr>
              <w:jc w:val="left"/>
              <w:rPr>
                <w:sz w:val="18"/>
                <w:szCs w:val="18"/>
              </w:rPr>
            </w:pPr>
            <w:r>
              <w:rPr>
                <w:sz w:val="18"/>
                <w:szCs w:val="18"/>
              </w:rPr>
              <w:t>Deposits at end-</w:t>
            </w:r>
            <w:r>
              <w:rPr>
                <w:rFonts w:hint="eastAsia"/>
                <w:sz w:val="18"/>
                <w:szCs w:val="18"/>
              </w:rPr>
              <w:t>March</w:t>
            </w:r>
          </w:p>
        </w:tc>
        <w:tc>
          <w:tcPr>
            <w:tcW w:w="1134" w:type="dxa"/>
            <w:tcBorders>
              <w:top w:val="single" w:color="339966" w:sz="12" w:space="0"/>
              <w:left w:val="nil"/>
              <w:bottom w:val="single" w:color="339966" w:sz="12" w:space="0"/>
              <w:right w:val="single" w:color="339966" w:sz="6" w:space="0"/>
            </w:tcBorders>
            <w:shd w:val="clear" w:color="auto" w:fill="CCFFCC"/>
            <w:vAlign w:val="center"/>
          </w:tcPr>
          <w:p>
            <w:pPr>
              <w:rPr>
                <w:color w:val="000000"/>
                <w:sz w:val="18"/>
                <w:szCs w:val="18"/>
              </w:rPr>
            </w:pPr>
            <w:r>
              <w:rPr>
                <w:color w:val="000000"/>
                <w:sz w:val="18"/>
                <w:szCs w:val="18"/>
              </w:rPr>
              <w:t>Year-on-</w:t>
            </w:r>
          </w:p>
          <w:p>
            <w:pPr>
              <w:rPr>
                <w:sz w:val="18"/>
                <w:szCs w:val="18"/>
              </w:rPr>
            </w:pPr>
            <w:r>
              <w:rPr>
                <w:color w:val="000000"/>
                <w:sz w:val="18"/>
                <w:szCs w:val="18"/>
              </w:rPr>
              <w:t xml:space="preserve">year </w:t>
            </w:r>
            <w:r>
              <w:rPr>
                <w:sz w:val="18"/>
                <w:szCs w:val="18"/>
              </w:rPr>
              <w:t>growth</w:t>
            </w:r>
          </w:p>
        </w:tc>
        <w:tc>
          <w:tcPr>
            <w:tcW w:w="1748" w:type="dxa"/>
            <w:tcBorders>
              <w:top w:val="single" w:color="339966" w:sz="12" w:space="0"/>
              <w:left w:val="nil"/>
              <w:bottom w:val="single" w:color="339966" w:sz="12" w:space="0"/>
              <w:right w:val="single" w:color="339966" w:sz="6" w:space="0"/>
            </w:tcBorders>
            <w:shd w:val="clear" w:color="auto" w:fill="CCFFCC"/>
            <w:vAlign w:val="center"/>
          </w:tcPr>
          <w:p>
            <w:pPr>
              <w:jc w:val="left"/>
              <w:rPr>
                <w:sz w:val="18"/>
                <w:szCs w:val="18"/>
              </w:rPr>
            </w:pPr>
            <w:r>
              <w:rPr>
                <w:sz w:val="18"/>
                <w:szCs w:val="18"/>
              </w:rPr>
              <w:t>Increase from the beginning of the year</w:t>
            </w:r>
          </w:p>
        </w:tc>
        <w:tc>
          <w:tcPr>
            <w:tcW w:w="1547" w:type="dxa"/>
            <w:tcBorders>
              <w:top w:val="single" w:color="339966" w:sz="12" w:space="0"/>
              <w:left w:val="nil"/>
              <w:bottom w:val="single" w:color="339966" w:sz="12" w:space="0"/>
              <w:right w:val="nil"/>
            </w:tcBorders>
            <w:shd w:val="clear" w:color="auto" w:fill="CCFFCC"/>
            <w:vAlign w:val="center"/>
          </w:tcPr>
          <w:p>
            <w:pPr>
              <w:jc w:val="left"/>
              <w:rPr>
                <w:sz w:val="18"/>
                <w:szCs w:val="18"/>
              </w:rPr>
            </w:pPr>
            <w:r>
              <w:rPr>
                <w:sz w:val="18"/>
                <w:szCs w:val="18"/>
              </w:rPr>
              <w:t>Change in the increase from the same period of the last year</w:t>
            </w:r>
          </w:p>
        </w:tc>
      </w:tr>
      <w:tr>
        <w:tblPrEx>
          <w:tblLayout w:type="fixed"/>
          <w:tblCellMar>
            <w:top w:w="0" w:type="dxa"/>
            <w:left w:w="0" w:type="dxa"/>
            <w:bottom w:w="0" w:type="dxa"/>
            <w:right w:w="0" w:type="dxa"/>
          </w:tblCellMar>
        </w:tblPrEx>
        <w:trPr>
          <w:trHeight w:val="300" w:hRule="atLeast"/>
          <w:jc w:val="center"/>
        </w:trPr>
        <w:tc>
          <w:tcPr>
            <w:tcW w:w="2315" w:type="dxa"/>
            <w:tcBorders>
              <w:top w:val="nil"/>
              <w:left w:val="nil"/>
              <w:bottom w:val="nil"/>
              <w:right w:val="single" w:color="339966" w:sz="4" w:space="0"/>
            </w:tcBorders>
            <w:vAlign w:val="center"/>
          </w:tcPr>
          <w:p>
            <w:pPr>
              <w:rPr>
                <w:sz w:val="18"/>
                <w:szCs w:val="18"/>
              </w:rPr>
            </w:pPr>
            <w:r>
              <w:rPr>
                <w:sz w:val="18"/>
                <w:szCs w:val="18"/>
              </w:rPr>
              <w:t>RMB deposits</w:t>
            </w:r>
          </w:p>
        </w:tc>
        <w:tc>
          <w:tcPr>
            <w:tcW w:w="1371" w:type="dxa"/>
            <w:tcBorders>
              <w:top w:val="nil"/>
              <w:left w:val="nil"/>
              <w:bottom w:val="nil"/>
              <w:right w:val="single" w:color="339966" w:sz="6" w:space="0"/>
            </w:tcBorders>
            <w:vAlign w:val="center"/>
          </w:tcPr>
          <w:p>
            <w:pPr>
              <w:ind w:left="2" w:firstLine="180" w:firstLineChars="100"/>
              <w:jc w:val="right"/>
              <w:rPr>
                <w:sz w:val="18"/>
                <w:szCs w:val="18"/>
              </w:rPr>
            </w:pPr>
            <w:r>
              <w:rPr>
                <w:sz w:val="18"/>
                <w:szCs w:val="18"/>
              </w:rPr>
              <w:t>1,6</w:t>
            </w:r>
            <w:r>
              <w:rPr>
                <w:rFonts w:hint="eastAsia"/>
                <w:sz w:val="18"/>
                <w:szCs w:val="18"/>
              </w:rPr>
              <w:t>91,816</w:t>
            </w:r>
          </w:p>
        </w:tc>
        <w:tc>
          <w:tcPr>
            <w:tcW w:w="1134" w:type="dxa"/>
            <w:tcBorders>
              <w:top w:val="nil"/>
              <w:left w:val="nil"/>
              <w:bottom w:val="nil"/>
              <w:right w:val="single" w:color="339966" w:sz="6" w:space="0"/>
            </w:tcBorders>
            <w:vAlign w:val="center"/>
          </w:tcPr>
          <w:p>
            <w:pPr>
              <w:ind w:left="283" w:leftChars="135"/>
              <w:jc w:val="right"/>
              <w:rPr>
                <w:sz w:val="18"/>
                <w:szCs w:val="18"/>
              </w:rPr>
            </w:pPr>
            <w:r>
              <w:rPr>
                <w:rFonts w:hint="eastAsia"/>
                <w:sz w:val="18"/>
                <w:szCs w:val="18"/>
              </w:rPr>
              <w:t>8.7</w:t>
            </w:r>
            <w:r>
              <w:rPr>
                <w:sz w:val="18"/>
                <w:szCs w:val="18"/>
              </w:rPr>
              <w:t>%</w:t>
            </w:r>
          </w:p>
        </w:tc>
        <w:tc>
          <w:tcPr>
            <w:tcW w:w="1748" w:type="dxa"/>
            <w:tcBorders>
              <w:top w:val="nil"/>
              <w:left w:val="nil"/>
              <w:bottom w:val="nil"/>
              <w:right w:val="single" w:color="339966" w:sz="6" w:space="0"/>
            </w:tcBorders>
            <w:vAlign w:val="center"/>
          </w:tcPr>
          <w:p>
            <w:pPr>
              <w:jc w:val="right"/>
              <w:rPr>
                <w:sz w:val="18"/>
                <w:szCs w:val="18"/>
              </w:rPr>
            </w:pPr>
            <w:r>
              <w:rPr>
                <w:rFonts w:hint="eastAsia"/>
                <w:sz w:val="18"/>
                <w:szCs w:val="18"/>
              </w:rPr>
              <w:t>50,640</w:t>
            </w:r>
          </w:p>
        </w:tc>
        <w:tc>
          <w:tcPr>
            <w:tcW w:w="1547" w:type="dxa"/>
            <w:tcBorders>
              <w:top w:val="nil"/>
              <w:left w:val="nil"/>
              <w:bottom w:val="nil"/>
              <w:right w:val="nil"/>
            </w:tcBorders>
            <w:vAlign w:val="center"/>
          </w:tcPr>
          <w:p>
            <w:pPr>
              <w:ind w:firstLine="720" w:firstLineChars="400"/>
              <w:jc w:val="right"/>
              <w:rPr>
                <w:sz w:val="18"/>
                <w:szCs w:val="18"/>
              </w:rPr>
            </w:pPr>
            <w:r>
              <w:rPr>
                <w:rFonts w:hint="eastAsia"/>
                <w:sz w:val="18"/>
                <w:szCs w:val="18"/>
              </w:rPr>
              <w:t>77</w:t>
            </w:r>
          </w:p>
        </w:tc>
      </w:tr>
      <w:tr>
        <w:tblPrEx>
          <w:tblLayout w:type="fixed"/>
          <w:tblCellMar>
            <w:top w:w="0" w:type="dxa"/>
            <w:left w:w="0" w:type="dxa"/>
            <w:bottom w:w="0" w:type="dxa"/>
            <w:right w:w="0" w:type="dxa"/>
          </w:tblCellMar>
        </w:tblPrEx>
        <w:trPr>
          <w:trHeight w:val="285" w:hRule="atLeast"/>
          <w:jc w:val="center"/>
        </w:trPr>
        <w:tc>
          <w:tcPr>
            <w:tcW w:w="2315" w:type="dxa"/>
            <w:tcBorders>
              <w:top w:val="nil"/>
              <w:left w:val="nil"/>
              <w:bottom w:val="nil"/>
              <w:right w:val="single" w:color="339966" w:sz="4" w:space="0"/>
            </w:tcBorders>
            <w:shd w:val="clear" w:color="auto" w:fill="CCFFCC"/>
            <w:vAlign w:val="center"/>
          </w:tcPr>
          <w:p>
            <w:pPr>
              <w:ind w:left="441"/>
              <w:rPr>
                <w:sz w:val="18"/>
                <w:szCs w:val="18"/>
              </w:rPr>
            </w:pPr>
            <w:r>
              <w:rPr>
                <w:sz w:val="18"/>
                <w:szCs w:val="18"/>
              </w:rPr>
              <w:t xml:space="preserve">Households </w:t>
            </w:r>
          </w:p>
        </w:tc>
        <w:tc>
          <w:tcPr>
            <w:tcW w:w="1371"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sz w:val="18"/>
                <w:szCs w:val="18"/>
              </w:rPr>
              <w:t>6</w:t>
            </w:r>
            <w:r>
              <w:rPr>
                <w:rFonts w:hint="eastAsia"/>
                <w:sz w:val="18"/>
                <w:szCs w:val="18"/>
              </w:rPr>
              <w:t>86</w:t>
            </w:r>
            <w:r>
              <w:rPr>
                <w:sz w:val="18"/>
                <w:szCs w:val="18"/>
              </w:rPr>
              <w:t>,</w:t>
            </w:r>
            <w:r>
              <w:rPr>
                <w:rFonts w:hint="eastAsia"/>
                <w:sz w:val="18"/>
                <w:szCs w:val="18"/>
              </w:rPr>
              <w:t>804</w:t>
            </w:r>
          </w:p>
        </w:tc>
        <w:tc>
          <w:tcPr>
            <w:tcW w:w="1134"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sz w:val="18"/>
                <w:szCs w:val="18"/>
              </w:rPr>
              <w:t>7.</w:t>
            </w:r>
            <w:r>
              <w:rPr>
                <w:rFonts w:hint="eastAsia"/>
                <w:sz w:val="18"/>
                <w:szCs w:val="18"/>
              </w:rPr>
              <w:t>8</w:t>
            </w:r>
            <w:r>
              <w:rPr>
                <w:sz w:val="18"/>
                <w:szCs w:val="18"/>
              </w:rPr>
              <w:t>%</w:t>
            </w:r>
          </w:p>
        </w:tc>
        <w:tc>
          <w:tcPr>
            <w:tcW w:w="1748"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sz w:val="18"/>
                <w:szCs w:val="18"/>
              </w:rPr>
              <w:t>4</w:t>
            </w:r>
            <w:r>
              <w:rPr>
                <w:rFonts w:hint="eastAsia"/>
                <w:sz w:val="18"/>
                <w:szCs w:val="18"/>
              </w:rPr>
              <w:t>2</w:t>
            </w:r>
            <w:r>
              <w:rPr>
                <w:sz w:val="18"/>
                <w:szCs w:val="18"/>
              </w:rPr>
              <w:t>,</w:t>
            </w:r>
            <w:r>
              <w:rPr>
                <w:rFonts w:hint="eastAsia"/>
                <w:sz w:val="18"/>
                <w:szCs w:val="18"/>
              </w:rPr>
              <w:t>73</w:t>
            </w:r>
            <w:r>
              <w:rPr>
                <w:sz w:val="18"/>
                <w:szCs w:val="18"/>
              </w:rPr>
              <w:t>5</w:t>
            </w:r>
          </w:p>
        </w:tc>
        <w:tc>
          <w:tcPr>
            <w:tcW w:w="1547" w:type="dxa"/>
            <w:tcBorders>
              <w:top w:val="nil"/>
              <w:left w:val="nil"/>
              <w:bottom w:val="nil"/>
              <w:right w:val="nil"/>
            </w:tcBorders>
            <w:shd w:val="clear" w:color="auto" w:fill="CCFFCC"/>
            <w:vAlign w:val="center"/>
          </w:tcPr>
          <w:p>
            <w:pPr>
              <w:ind w:firstLine="540" w:firstLineChars="300"/>
              <w:jc w:val="right"/>
              <w:rPr>
                <w:sz w:val="18"/>
                <w:szCs w:val="18"/>
              </w:rPr>
            </w:pPr>
            <w:r>
              <w:rPr>
                <w:rFonts w:hint="eastAsia"/>
                <w:sz w:val="18"/>
                <w:szCs w:val="18"/>
              </w:rPr>
              <w:t>3,10</w:t>
            </w:r>
            <w:r>
              <w:rPr>
                <w:sz w:val="18"/>
                <w:szCs w:val="18"/>
              </w:rPr>
              <w:t>9</w:t>
            </w:r>
          </w:p>
        </w:tc>
      </w:tr>
      <w:tr>
        <w:tblPrEx>
          <w:tblLayout w:type="fixed"/>
          <w:tblCellMar>
            <w:top w:w="0" w:type="dxa"/>
            <w:left w:w="0" w:type="dxa"/>
            <w:bottom w:w="0" w:type="dxa"/>
            <w:right w:w="0" w:type="dxa"/>
          </w:tblCellMar>
        </w:tblPrEx>
        <w:trPr>
          <w:trHeight w:val="441" w:hRule="atLeast"/>
          <w:jc w:val="center"/>
        </w:trPr>
        <w:tc>
          <w:tcPr>
            <w:tcW w:w="2315" w:type="dxa"/>
            <w:tcBorders>
              <w:top w:val="nil"/>
              <w:left w:val="nil"/>
              <w:bottom w:val="nil"/>
              <w:right w:val="single" w:color="339966" w:sz="4" w:space="0"/>
            </w:tcBorders>
            <w:vAlign w:val="center"/>
          </w:tcPr>
          <w:p>
            <w:pPr>
              <w:ind w:left="441"/>
              <w:rPr>
                <w:sz w:val="18"/>
                <w:szCs w:val="18"/>
              </w:rPr>
            </w:pPr>
            <w:r>
              <w:rPr>
                <w:sz w:val="18"/>
                <w:szCs w:val="18"/>
              </w:rPr>
              <w:t>Non-financial enterprises</w:t>
            </w:r>
          </w:p>
        </w:tc>
        <w:tc>
          <w:tcPr>
            <w:tcW w:w="1371" w:type="dxa"/>
            <w:tcBorders>
              <w:top w:val="nil"/>
              <w:left w:val="nil"/>
              <w:bottom w:val="nil"/>
              <w:right w:val="single" w:color="339966" w:sz="6" w:space="0"/>
            </w:tcBorders>
            <w:vAlign w:val="center"/>
          </w:tcPr>
          <w:p>
            <w:pPr>
              <w:ind w:left="283" w:leftChars="135"/>
              <w:jc w:val="right"/>
              <w:rPr>
                <w:sz w:val="18"/>
                <w:szCs w:val="18"/>
              </w:rPr>
            </w:pPr>
            <w:r>
              <w:rPr>
                <w:sz w:val="18"/>
                <w:szCs w:val="18"/>
              </w:rPr>
              <w:t>5</w:t>
            </w:r>
            <w:r>
              <w:rPr>
                <w:rFonts w:hint="eastAsia"/>
                <w:sz w:val="18"/>
                <w:szCs w:val="18"/>
              </w:rPr>
              <w:t>29,321</w:t>
            </w:r>
          </w:p>
        </w:tc>
        <w:tc>
          <w:tcPr>
            <w:tcW w:w="1134" w:type="dxa"/>
            <w:tcBorders>
              <w:top w:val="nil"/>
              <w:left w:val="nil"/>
              <w:bottom w:val="nil"/>
              <w:right w:val="single" w:color="339966" w:sz="6" w:space="0"/>
            </w:tcBorders>
            <w:vAlign w:val="center"/>
          </w:tcPr>
          <w:p>
            <w:pPr>
              <w:ind w:left="283" w:leftChars="135"/>
              <w:jc w:val="right"/>
              <w:rPr>
                <w:sz w:val="18"/>
                <w:szCs w:val="18"/>
              </w:rPr>
            </w:pPr>
            <w:r>
              <w:rPr>
                <w:rFonts w:hint="eastAsia"/>
                <w:sz w:val="18"/>
                <w:szCs w:val="18"/>
              </w:rPr>
              <w:t>5.1</w:t>
            </w:r>
            <w:r>
              <w:rPr>
                <w:sz w:val="18"/>
                <w:szCs w:val="18"/>
              </w:rPr>
              <w:t>%</w:t>
            </w:r>
          </w:p>
        </w:tc>
        <w:tc>
          <w:tcPr>
            <w:tcW w:w="1748" w:type="dxa"/>
            <w:tcBorders>
              <w:top w:val="nil"/>
              <w:left w:val="nil"/>
              <w:bottom w:val="nil"/>
              <w:right w:val="single" w:color="339966" w:sz="6" w:space="0"/>
            </w:tcBorders>
            <w:vAlign w:val="center"/>
          </w:tcPr>
          <w:p>
            <w:pPr>
              <w:ind w:left="283" w:leftChars="135"/>
              <w:jc w:val="right"/>
              <w:rPr>
                <w:sz w:val="18"/>
                <w:szCs w:val="18"/>
              </w:rPr>
            </w:pPr>
            <w:r>
              <w:rPr>
                <w:sz w:val="18"/>
                <w:szCs w:val="18"/>
              </w:rPr>
              <w:t>–</w:t>
            </w:r>
            <w:r>
              <w:rPr>
                <w:rFonts w:hint="eastAsia"/>
                <w:sz w:val="18"/>
                <w:szCs w:val="18"/>
              </w:rPr>
              <w:t>12,071</w:t>
            </w:r>
          </w:p>
        </w:tc>
        <w:tc>
          <w:tcPr>
            <w:tcW w:w="1547" w:type="dxa"/>
            <w:tcBorders>
              <w:top w:val="nil"/>
              <w:left w:val="nil"/>
              <w:bottom w:val="nil"/>
              <w:right w:val="nil"/>
            </w:tcBorders>
            <w:vAlign w:val="center"/>
          </w:tcPr>
          <w:p>
            <w:pPr>
              <w:ind w:left="283" w:leftChars="135" w:firstLine="180" w:firstLineChars="100"/>
              <w:jc w:val="right"/>
              <w:rPr>
                <w:sz w:val="18"/>
                <w:szCs w:val="18"/>
              </w:rPr>
            </w:pPr>
            <w:r>
              <w:rPr>
                <w:sz w:val="18"/>
                <w:szCs w:val="18"/>
              </w:rPr>
              <w:t>–</w:t>
            </w:r>
            <w:r>
              <w:rPr>
                <w:rFonts w:hint="eastAsia"/>
                <w:sz w:val="18"/>
                <w:szCs w:val="18"/>
              </w:rPr>
              <w:t>14</w:t>
            </w:r>
            <w:r>
              <w:rPr>
                <w:sz w:val="18"/>
                <w:szCs w:val="18"/>
              </w:rPr>
              <w:t>,</w:t>
            </w:r>
            <w:r>
              <w:rPr>
                <w:rFonts w:hint="eastAsia"/>
                <w:sz w:val="18"/>
                <w:szCs w:val="18"/>
              </w:rPr>
              <w:t>338</w:t>
            </w:r>
          </w:p>
        </w:tc>
      </w:tr>
      <w:tr>
        <w:tblPrEx>
          <w:tblLayout w:type="fixed"/>
          <w:tblCellMar>
            <w:top w:w="0" w:type="dxa"/>
            <w:left w:w="0" w:type="dxa"/>
            <w:bottom w:w="0" w:type="dxa"/>
            <w:right w:w="0" w:type="dxa"/>
          </w:tblCellMar>
        </w:tblPrEx>
        <w:trPr>
          <w:trHeight w:val="315" w:hRule="atLeast"/>
          <w:jc w:val="center"/>
        </w:trPr>
        <w:tc>
          <w:tcPr>
            <w:tcW w:w="2315" w:type="dxa"/>
            <w:tcBorders>
              <w:top w:val="nil"/>
              <w:left w:val="nil"/>
              <w:bottom w:val="nil"/>
              <w:right w:val="single" w:color="339966" w:sz="4" w:space="0"/>
            </w:tcBorders>
            <w:shd w:val="clear" w:color="auto" w:fill="CCFFCC"/>
            <w:vAlign w:val="center"/>
          </w:tcPr>
          <w:p>
            <w:pPr>
              <w:ind w:left="441"/>
              <w:rPr>
                <w:sz w:val="18"/>
                <w:szCs w:val="18"/>
              </w:rPr>
            </w:pPr>
            <w:r>
              <w:rPr>
                <w:sz w:val="18"/>
                <w:szCs w:val="18"/>
              </w:rPr>
              <w:t>Government</w:t>
            </w:r>
          </w:p>
        </w:tc>
        <w:tc>
          <w:tcPr>
            <w:tcW w:w="1371"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sz w:val="18"/>
                <w:szCs w:val="18"/>
              </w:rPr>
              <w:t>3</w:t>
            </w:r>
            <w:r>
              <w:rPr>
                <w:rFonts w:hint="eastAsia"/>
                <w:sz w:val="18"/>
                <w:szCs w:val="18"/>
              </w:rPr>
              <w:t>10</w:t>
            </w:r>
            <w:r>
              <w:rPr>
                <w:sz w:val="18"/>
                <w:szCs w:val="18"/>
              </w:rPr>
              <w:t>,</w:t>
            </w:r>
            <w:r>
              <w:rPr>
                <w:rFonts w:hint="eastAsia"/>
                <w:sz w:val="18"/>
                <w:szCs w:val="18"/>
              </w:rPr>
              <w:t>348</w:t>
            </w:r>
          </w:p>
        </w:tc>
        <w:tc>
          <w:tcPr>
            <w:tcW w:w="1134"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sz w:val="18"/>
                <w:szCs w:val="18"/>
              </w:rPr>
              <w:t>1</w:t>
            </w:r>
            <w:r>
              <w:rPr>
                <w:rFonts w:hint="eastAsia"/>
                <w:sz w:val="18"/>
                <w:szCs w:val="18"/>
              </w:rPr>
              <w:t>1</w:t>
            </w:r>
            <w:r>
              <w:rPr>
                <w:sz w:val="18"/>
                <w:szCs w:val="18"/>
              </w:rPr>
              <w:t>.8%</w:t>
            </w:r>
          </w:p>
        </w:tc>
        <w:tc>
          <w:tcPr>
            <w:tcW w:w="1748" w:type="dxa"/>
            <w:tcBorders>
              <w:top w:val="nil"/>
              <w:left w:val="nil"/>
              <w:bottom w:val="nil"/>
              <w:right w:val="single" w:color="339966" w:sz="6" w:space="0"/>
            </w:tcBorders>
            <w:shd w:val="clear" w:color="auto" w:fill="CCFFCC"/>
            <w:vAlign w:val="center"/>
          </w:tcPr>
          <w:p>
            <w:pPr>
              <w:ind w:left="283" w:leftChars="135"/>
              <w:jc w:val="right"/>
              <w:rPr>
                <w:sz w:val="18"/>
                <w:szCs w:val="18"/>
              </w:rPr>
            </w:pPr>
            <w:r>
              <w:rPr>
                <w:rFonts w:hint="eastAsia"/>
                <w:sz w:val="18"/>
                <w:szCs w:val="18"/>
              </w:rPr>
              <w:t>5,328</w:t>
            </w:r>
          </w:p>
        </w:tc>
        <w:tc>
          <w:tcPr>
            <w:tcW w:w="1547" w:type="dxa"/>
            <w:tcBorders>
              <w:top w:val="nil"/>
              <w:left w:val="nil"/>
              <w:bottom w:val="nil"/>
              <w:right w:val="nil"/>
            </w:tcBorders>
            <w:shd w:val="clear" w:color="auto" w:fill="CCFFCC"/>
            <w:vAlign w:val="center"/>
          </w:tcPr>
          <w:p>
            <w:pPr>
              <w:jc w:val="right"/>
              <w:rPr>
                <w:sz w:val="18"/>
                <w:szCs w:val="18"/>
              </w:rPr>
            </w:pPr>
            <w:r>
              <w:rPr>
                <w:sz w:val="18"/>
                <w:szCs w:val="18"/>
              </w:rPr>
              <w:t xml:space="preserve">    –</w:t>
            </w:r>
            <w:r>
              <w:rPr>
                <w:rFonts w:hint="eastAsia"/>
                <w:sz w:val="18"/>
                <w:szCs w:val="18"/>
              </w:rPr>
              <w:t>1,568</w:t>
            </w:r>
          </w:p>
        </w:tc>
      </w:tr>
      <w:tr>
        <w:tblPrEx>
          <w:tblLayout w:type="fixed"/>
          <w:tblCellMar>
            <w:top w:w="0" w:type="dxa"/>
            <w:left w:w="0" w:type="dxa"/>
            <w:bottom w:w="0" w:type="dxa"/>
            <w:right w:w="0" w:type="dxa"/>
          </w:tblCellMar>
        </w:tblPrEx>
        <w:trPr>
          <w:trHeight w:val="315" w:hRule="atLeast"/>
          <w:jc w:val="center"/>
        </w:trPr>
        <w:tc>
          <w:tcPr>
            <w:tcW w:w="2315" w:type="dxa"/>
            <w:tcBorders>
              <w:top w:val="nil"/>
              <w:left w:val="nil"/>
              <w:bottom w:val="nil"/>
              <w:right w:val="single" w:color="339966" w:sz="4" w:space="0"/>
            </w:tcBorders>
            <w:vAlign w:val="center"/>
          </w:tcPr>
          <w:p>
            <w:pPr>
              <w:ind w:left="442"/>
              <w:rPr>
                <w:sz w:val="18"/>
                <w:szCs w:val="18"/>
              </w:rPr>
            </w:pPr>
            <w:r>
              <w:rPr>
                <w:sz w:val="18"/>
                <w:szCs w:val="18"/>
              </w:rPr>
              <w:t>Non-banking financial</w:t>
            </w:r>
          </w:p>
          <w:p>
            <w:pPr>
              <w:ind w:left="442"/>
              <w:rPr>
                <w:sz w:val="18"/>
                <w:szCs w:val="18"/>
              </w:rPr>
            </w:pPr>
            <w:r>
              <w:rPr>
                <w:sz w:val="18"/>
                <w:szCs w:val="18"/>
              </w:rPr>
              <w:t>institutions</w:t>
            </w:r>
          </w:p>
        </w:tc>
        <w:tc>
          <w:tcPr>
            <w:tcW w:w="1371" w:type="dxa"/>
            <w:tcBorders>
              <w:top w:val="nil"/>
              <w:left w:val="nil"/>
              <w:bottom w:val="nil"/>
              <w:right w:val="single" w:color="339966" w:sz="6" w:space="0"/>
            </w:tcBorders>
            <w:vAlign w:val="center"/>
          </w:tcPr>
          <w:p>
            <w:pPr>
              <w:ind w:left="283" w:leftChars="135"/>
              <w:jc w:val="right"/>
              <w:rPr>
                <w:sz w:val="18"/>
                <w:szCs w:val="18"/>
              </w:rPr>
            </w:pPr>
            <w:r>
              <w:rPr>
                <w:sz w:val="18"/>
                <w:szCs w:val="18"/>
              </w:rPr>
              <w:t>1</w:t>
            </w:r>
            <w:r>
              <w:rPr>
                <w:rFonts w:hint="eastAsia"/>
                <w:sz w:val="18"/>
                <w:szCs w:val="18"/>
              </w:rPr>
              <w:t>55,163</w:t>
            </w:r>
          </w:p>
        </w:tc>
        <w:tc>
          <w:tcPr>
            <w:tcW w:w="1134" w:type="dxa"/>
            <w:tcBorders>
              <w:top w:val="nil"/>
              <w:left w:val="nil"/>
              <w:bottom w:val="nil"/>
              <w:right w:val="single" w:color="339966" w:sz="6" w:space="0"/>
            </w:tcBorders>
            <w:vAlign w:val="center"/>
          </w:tcPr>
          <w:p>
            <w:pPr>
              <w:ind w:left="283" w:leftChars="135"/>
              <w:jc w:val="right"/>
              <w:rPr>
                <w:sz w:val="18"/>
                <w:szCs w:val="18"/>
              </w:rPr>
            </w:pPr>
            <w:r>
              <w:rPr>
                <w:rFonts w:hint="eastAsia"/>
                <w:sz w:val="18"/>
                <w:szCs w:val="18"/>
              </w:rPr>
              <w:t>20.8</w:t>
            </w:r>
            <w:r>
              <w:rPr>
                <w:sz w:val="18"/>
                <w:szCs w:val="18"/>
              </w:rPr>
              <w:t>%</w:t>
            </w:r>
          </w:p>
        </w:tc>
        <w:tc>
          <w:tcPr>
            <w:tcW w:w="1748" w:type="dxa"/>
            <w:tcBorders>
              <w:top w:val="nil"/>
              <w:left w:val="nil"/>
              <w:bottom w:val="nil"/>
              <w:right w:val="single" w:color="339966" w:sz="6" w:space="0"/>
            </w:tcBorders>
            <w:vAlign w:val="center"/>
          </w:tcPr>
          <w:p>
            <w:pPr>
              <w:ind w:left="283" w:leftChars="135"/>
              <w:jc w:val="right"/>
              <w:rPr>
                <w:sz w:val="18"/>
                <w:szCs w:val="18"/>
              </w:rPr>
            </w:pPr>
            <w:r>
              <w:rPr>
                <w:sz w:val="18"/>
                <w:szCs w:val="18"/>
              </w:rPr>
              <w:t>1</w:t>
            </w:r>
            <w:r>
              <w:rPr>
                <w:rFonts w:hint="eastAsia"/>
                <w:sz w:val="18"/>
                <w:szCs w:val="18"/>
              </w:rPr>
              <w:t>4,934</w:t>
            </w:r>
          </w:p>
        </w:tc>
        <w:tc>
          <w:tcPr>
            <w:tcW w:w="1547" w:type="dxa"/>
            <w:tcBorders>
              <w:top w:val="nil"/>
              <w:left w:val="nil"/>
              <w:bottom w:val="nil"/>
              <w:right w:val="nil"/>
            </w:tcBorders>
            <w:vAlign w:val="center"/>
          </w:tcPr>
          <w:p>
            <w:pPr>
              <w:keepNext/>
              <w:ind w:firstLine="360" w:firstLineChars="200"/>
              <w:jc w:val="right"/>
              <w:rPr>
                <w:sz w:val="18"/>
                <w:szCs w:val="18"/>
              </w:rPr>
            </w:pPr>
            <w:r>
              <w:rPr>
                <w:sz w:val="18"/>
                <w:szCs w:val="18"/>
              </w:rPr>
              <w:t>13,</w:t>
            </w:r>
            <w:r>
              <w:rPr>
                <w:rFonts w:hint="eastAsia"/>
                <w:sz w:val="18"/>
                <w:szCs w:val="18"/>
              </w:rPr>
              <w:t>781</w:t>
            </w:r>
          </w:p>
        </w:tc>
      </w:tr>
      <w:tr>
        <w:tblPrEx>
          <w:tblLayout w:type="fixed"/>
          <w:tblCellMar>
            <w:top w:w="0" w:type="dxa"/>
            <w:left w:w="0" w:type="dxa"/>
            <w:bottom w:w="0" w:type="dxa"/>
            <w:right w:w="0" w:type="dxa"/>
          </w:tblCellMar>
        </w:tblPrEx>
        <w:trPr>
          <w:trHeight w:val="315" w:hRule="atLeast"/>
          <w:jc w:val="center"/>
        </w:trPr>
        <w:tc>
          <w:tcPr>
            <w:tcW w:w="2315" w:type="dxa"/>
            <w:tcBorders>
              <w:top w:val="nil"/>
              <w:left w:val="nil"/>
              <w:bottom w:val="single" w:color="339966" w:sz="12" w:space="0"/>
              <w:right w:val="single" w:color="339966" w:sz="4" w:space="0"/>
            </w:tcBorders>
            <w:shd w:val="clear" w:color="auto" w:fill="CCFFCC"/>
            <w:vAlign w:val="center"/>
          </w:tcPr>
          <w:p>
            <w:pPr>
              <w:ind w:left="441"/>
              <w:rPr>
                <w:sz w:val="24"/>
              </w:rPr>
            </w:pPr>
            <w:r>
              <w:rPr>
                <w:sz w:val="18"/>
                <w:szCs w:val="18"/>
              </w:rPr>
              <w:t>Overseas</w:t>
            </w:r>
          </w:p>
        </w:tc>
        <w:tc>
          <w:tcPr>
            <w:tcW w:w="1371" w:type="dxa"/>
            <w:tcBorders>
              <w:top w:val="nil"/>
              <w:left w:val="nil"/>
              <w:bottom w:val="single" w:color="339966" w:sz="12" w:space="0"/>
              <w:right w:val="single" w:color="339966" w:sz="6" w:space="0"/>
            </w:tcBorders>
            <w:shd w:val="clear" w:color="auto" w:fill="CCFFCC"/>
            <w:vAlign w:val="center"/>
          </w:tcPr>
          <w:p>
            <w:pPr>
              <w:tabs>
                <w:tab w:val="left" w:pos="238"/>
              </w:tabs>
              <w:ind w:firstLine="360" w:firstLineChars="200"/>
              <w:jc w:val="right"/>
              <w:rPr>
                <w:sz w:val="18"/>
                <w:szCs w:val="18"/>
              </w:rPr>
            </w:pPr>
            <w:r>
              <w:rPr>
                <w:sz w:val="18"/>
                <w:szCs w:val="18"/>
              </w:rPr>
              <w:t>10,</w:t>
            </w:r>
            <w:r>
              <w:rPr>
                <w:rFonts w:hint="eastAsia"/>
                <w:sz w:val="18"/>
                <w:szCs w:val="18"/>
              </w:rPr>
              <w:t>180</w:t>
            </w:r>
          </w:p>
        </w:tc>
        <w:tc>
          <w:tcPr>
            <w:tcW w:w="1134" w:type="dxa"/>
            <w:tcBorders>
              <w:top w:val="nil"/>
              <w:left w:val="nil"/>
              <w:bottom w:val="single" w:color="339966" w:sz="12" w:space="0"/>
              <w:right w:val="single" w:color="339966" w:sz="6" w:space="0"/>
            </w:tcBorders>
            <w:shd w:val="clear" w:color="auto" w:fill="CCFFCC"/>
            <w:vAlign w:val="center"/>
          </w:tcPr>
          <w:p>
            <w:pPr>
              <w:ind w:left="283" w:leftChars="135"/>
              <w:jc w:val="right"/>
              <w:rPr>
                <w:sz w:val="18"/>
                <w:szCs w:val="18"/>
              </w:rPr>
            </w:pPr>
            <w:r>
              <w:rPr>
                <w:rFonts w:hint="eastAsia"/>
                <w:sz w:val="18"/>
                <w:szCs w:val="18"/>
              </w:rPr>
              <w:t>9.3</w:t>
            </w:r>
            <w:r>
              <w:rPr>
                <w:sz w:val="18"/>
                <w:szCs w:val="18"/>
              </w:rPr>
              <w:t>%</w:t>
            </w:r>
          </w:p>
        </w:tc>
        <w:tc>
          <w:tcPr>
            <w:tcW w:w="1748" w:type="dxa"/>
            <w:tcBorders>
              <w:top w:val="nil"/>
              <w:left w:val="nil"/>
              <w:bottom w:val="single" w:color="339966" w:sz="12" w:space="0"/>
              <w:right w:val="single" w:color="339966" w:sz="6" w:space="0"/>
            </w:tcBorders>
            <w:shd w:val="clear" w:color="auto" w:fill="CCFFCC"/>
            <w:vAlign w:val="center"/>
          </w:tcPr>
          <w:p>
            <w:pPr>
              <w:ind w:left="283" w:leftChars="135"/>
              <w:jc w:val="right"/>
              <w:rPr>
                <w:sz w:val="18"/>
                <w:szCs w:val="18"/>
              </w:rPr>
            </w:pPr>
            <w:r>
              <w:rPr>
                <w:rFonts w:hint="eastAsia"/>
                <w:sz w:val="18"/>
                <w:szCs w:val="18"/>
              </w:rPr>
              <w:t>-287</w:t>
            </w:r>
          </w:p>
        </w:tc>
        <w:tc>
          <w:tcPr>
            <w:tcW w:w="1547" w:type="dxa"/>
            <w:tcBorders>
              <w:top w:val="nil"/>
              <w:left w:val="nil"/>
              <w:bottom w:val="single" w:color="339966" w:sz="12" w:space="0"/>
              <w:right w:val="nil"/>
            </w:tcBorders>
            <w:shd w:val="clear" w:color="auto" w:fill="CCFFCC"/>
            <w:vAlign w:val="center"/>
          </w:tcPr>
          <w:p>
            <w:pPr>
              <w:keepNext/>
              <w:jc w:val="right"/>
              <w:rPr>
                <w:sz w:val="18"/>
                <w:szCs w:val="18"/>
              </w:rPr>
            </w:pPr>
            <w:r>
              <w:rPr>
                <w:sz w:val="18"/>
                <w:szCs w:val="18"/>
              </w:rPr>
              <w:t xml:space="preserve">    </w:t>
            </w:r>
            <w:r>
              <w:rPr>
                <w:rFonts w:hint="eastAsia"/>
                <w:sz w:val="18"/>
                <w:szCs w:val="18"/>
              </w:rPr>
              <w:t>-907</w:t>
            </w:r>
          </w:p>
        </w:tc>
      </w:tr>
    </w:tbl>
    <w:p>
      <w:pPr>
        <w:widowControl/>
        <w:spacing w:line="440" w:lineRule="atLeast"/>
        <w:rPr>
          <w:rFonts w:eastAsia="楷体_GB2312"/>
          <w:sz w:val="24"/>
        </w:rPr>
      </w:pPr>
      <w:r>
        <w:rPr>
          <w:rFonts w:eastAsia="楷体_GB2312"/>
          <w:sz w:val="24"/>
        </w:rPr>
        <w:t xml:space="preserve">Source: People’s Bank of China. </w:t>
      </w:r>
    </w:p>
    <w:p>
      <w:pPr>
        <w:widowControl/>
        <w:spacing w:line="440" w:lineRule="atLeast"/>
        <w:rPr>
          <w:rFonts w:eastAsia="楷体_GB2312"/>
          <w:sz w:val="24"/>
        </w:rPr>
      </w:pPr>
    </w:p>
    <w:p>
      <w:pPr>
        <w:keepNext/>
        <w:keepLines/>
        <w:widowControl/>
        <w:adjustRightInd w:val="0"/>
        <w:spacing w:before="20" w:after="20"/>
        <w:outlineLvl w:val="1"/>
        <w:rPr>
          <w:rFonts w:eastAsia="黑体"/>
          <w:b/>
          <w:sz w:val="24"/>
        </w:rPr>
      </w:pPr>
      <w:bookmarkStart w:id="17" w:name="_Toc517190500"/>
      <w:r>
        <w:rPr>
          <w:rFonts w:eastAsia="黑体"/>
          <w:b/>
          <w:sz w:val="24"/>
        </w:rPr>
        <w:t>III. Lending by financial institutions grew rapidly</w:t>
      </w:r>
      <w:bookmarkEnd w:id="17"/>
      <w:r>
        <w:rPr>
          <w:rFonts w:eastAsia="黑体"/>
          <w:b/>
          <w:sz w:val="24"/>
        </w:rPr>
        <w:t xml:space="preserve">  </w:t>
      </w:r>
    </w:p>
    <w:p>
      <w:pPr>
        <w:textAlignment w:val="center"/>
        <w:rPr>
          <w:rFonts w:eastAsia="仿宋_GB2312"/>
          <w:sz w:val="24"/>
        </w:rPr>
      </w:pPr>
      <w:r>
        <w:rPr>
          <w:rFonts w:hint="eastAsia" w:eastAsia="仿宋_GB2312"/>
          <w:b/>
          <w:bCs/>
          <w:sz w:val="24"/>
        </w:rPr>
        <w:t>Lending grew rapidly, providing strong support for the real economy.</w:t>
      </w:r>
      <w:r>
        <w:rPr>
          <w:rFonts w:hint="eastAsia" w:eastAsia="仿宋_GB2312"/>
          <w:sz w:val="24"/>
        </w:rPr>
        <w:t xml:space="preserve"> </w:t>
      </w:r>
      <w:r>
        <w:rPr>
          <w:rFonts w:eastAsia="仿宋_GB2312"/>
          <w:sz w:val="24"/>
        </w:rPr>
        <w:t>At end-</w:t>
      </w:r>
      <w:r>
        <w:rPr>
          <w:rFonts w:hint="eastAsia" w:eastAsia="仿宋_GB2312"/>
          <w:sz w:val="24"/>
        </w:rPr>
        <w:t>March</w:t>
      </w:r>
      <w:r>
        <w:rPr>
          <w:rFonts w:eastAsia="仿宋_GB2312"/>
          <w:sz w:val="24"/>
        </w:rPr>
        <w:t>, outstanding loans in domestic and foreign currencies of all financial institutions posted RMB 1</w:t>
      </w:r>
      <w:r>
        <w:rPr>
          <w:rFonts w:hint="eastAsia" w:eastAsia="仿宋_GB2312"/>
          <w:sz w:val="24"/>
        </w:rPr>
        <w:t>30.5</w:t>
      </w:r>
      <w:r>
        <w:rPr>
          <w:rFonts w:eastAsia="仿宋_GB2312"/>
          <w:sz w:val="24"/>
        </w:rPr>
        <w:t xml:space="preserve"> trillion, up by 1</w:t>
      </w:r>
      <w:r>
        <w:rPr>
          <w:rFonts w:hint="eastAsia" w:eastAsia="仿宋_GB2312"/>
          <w:sz w:val="24"/>
        </w:rPr>
        <w:t>1.9</w:t>
      </w:r>
      <w:r>
        <w:rPr>
          <w:rFonts w:eastAsia="仿宋_GB2312"/>
          <w:sz w:val="24"/>
        </w:rPr>
        <w:t xml:space="preserve"> percent year on year</w:t>
      </w:r>
      <w:r>
        <w:rPr>
          <w:rFonts w:hint="eastAsia" w:eastAsia="仿宋_GB2312"/>
          <w:sz w:val="24"/>
        </w:rPr>
        <w:t xml:space="preserve"> and a deceleration of 0.2 percentage point from end-2017</w:t>
      </w:r>
      <w:r>
        <w:rPr>
          <w:rFonts w:eastAsia="仿宋_GB2312"/>
          <w:sz w:val="24"/>
        </w:rPr>
        <w:t xml:space="preserve">. This marked an increase of RMB </w:t>
      </w:r>
      <w:r>
        <w:rPr>
          <w:rFonts w:hint="eastAsia" w:eastAsia="仿宋_GB2312"/>
          <w:sz w:val="24"/>
        </w:rPr>
        <w:t>4.9</w:t>
      </w:r>
      <w:r>
        <w:rPr>
          <w:rFonts w:eastAsia="仿宋_GB2312"/>
          <w:sz w:val="24"/>
        </w:rPr>
        <w:t xml:space="preserve"> trillion from the beginning of the year and </w:t>
      </w:r>
      <w:r>
        <w:rPr>
          <w:rFonts w:hint="eastAsia" w:eastAsia="仿宋_GB2312"/>
          <w:sz w:val="24"/>
        </w:rPr>
        <w:t>represented a year-on-year acceleration of</w:t>
      </w:r>
      <w:r>
        <w:rPr>
          <w:rFonts w:eastAsia="仿宋_GB2312"/>
          <w:sz w:val="24"/>
        </w:rPr>
        <w:t xml:space="preserve"> RMB </w:t>
      </w:r>
      <w:r>
        <w:rPr>
          <w:rFonts w:hint="eastAsia" w:eastAsia="仿宋_GB2312"/>
          <w:sz w:val="24"/>
        </w:rPr>
        <w:t>309.7</w:t>
      </w:r>
      <w:r>
        <w:rPr>
          <w:rFonts w:eastAsia="仿宋_GB2312"/>
          <w:sz w:val="24"/>
        </w:rPr>
        <w:t xml:space="preserve"> billion. At end-</w:t>
      </w:r>
      <w:r>
        <w:rPr>
          <w:rFonts w:hint="eastAsia" w:eastAsia="仿宋_GB2312"/>
          <w:sz w:val="24"/>
        </w:rPr>
        <w:t>March</w:t>
      </w:r>
      <w:r>
        <w:rPr>
          <w:rFonts w:eastAsia="仿宋_GB2312"/>
          <w:sz w:val="24"/>
        </w:rPr>
        <w:t>, outstanding RMB loans registered RMB 12</w:t>
      </w:r>
      <w:r>
        <w:rPr>
          <w:rFonts w:hint="eastAsia" w:eastAsia="仿宋_GB2312"/>
          <w:sz w:val="24"/>
        </w:rPr>
        <w:t>5.0</w:t>
      </w:r>
      <w:r>
        <w:rPr>
          <w:rFonts w:eastAsia="仿宋_GB2312"/>
          <w:sz w:val="24"/>
        </w:rPr>
        <w:t xml:space="preserve"> trillion, </w:t>
      </w:r>
      <w:r>
        <w:rPr>
          <w:rFonts w:hint="eastAsia" w:eastAsia="仿宋_GB2312"/>
          <w:sz w:val="24"/>
        </w:rPr>
        <w:t xml:space="preserve">up </w:t>
      </w:r>
      <w:r>
        <w:rPr>
          <w:rFonts w:eastAsia="仿宋_GB2312"/>
          <w:sz w:val="24"/>
        </w:rPr>
        <w:t>12.</w:t>
      </w:r>
      <w:r>
        <w:rPr>
          <w:rFonts w:hint="eastAsia" w:eastAsia="仿宋_GB2312"/>
          <w:sz w:val="24"/>
        </w:rPr>
        <w:t>8</w:t>
      </w:r>
      <w:r>
        <w:rPr>
          <w:rFonts w:eastAsia="仿宋_GB2312"/>
          <w:sz w:val="24"/>
        </w:rPr>
        <w:t xml:space="preserve"> percent year on year</w:t>
      </w:r>
      <w:r>
        <w:rPr>
          <w:rFonts w:hint="eastAsia" w:eastAsia="仿宋_GB2312"/>
          <w:sz w:val="24"/>
        </w:rPr>
        <w:t xml:space="preserve"> and an acceleration of 0.1 percentage point from end-2017</w:t>
      </w:r>
      <w:r>
        <w:rPr>
          <w:rFonts w:eastAsia="仿宋_GB2312"/>
          <w:sz w:val="24"/>
        </w:rPr>
        <w:t xml:space="preserve">. This marked an increase of RMB </w:t>
      </w:r>
      <w:r>
        <w:rPr>
          <w:rFonts w:hint="eastAsia" w:eastAsia="仿宋_GB2312"/>
          <w:sz w:val="24"/>
        </w:rPr>
        <w:t>4.9</w:t>
      </w:r>
      <w:r>
        <w:rPr>
          <w:rFonts w:eastAsia="仿宋_GB2312"/>
          <w:sz w:val="24"/>
        </w:rPr>
        <w:t xml:space="preserve"> trillion from the beginning of the year, which</w:t>
      </w:r>
      <w:r>
        <w:rPr>
          <w:rFonts w:hint="eastAsia" w:eastAsia="仿宋_GB2312"/>
          <w:sz w:val="24"/>
        </w:rPr>
        <w:t xml:space="preserve"> </w:t>
      </w:r>
      <w:r>
        <w:rPr>
          <w:rFonts w:eastAsia="仿宋_GB2312"/>
          <w:sz w:val="24"/>
        </w:rPr>
        <w:t xml:space="preserve">represented a year-on-year acceleration of RMB </w:t>
      </w:r>
      <w:r>
        <w:rPr>
          <w:rFonts w:hint="eastAsia" w:eastAsia="仿宋_GB2312"/>
          <w:sz w:val="24"/>
        </w:rPr>
        <w:t>633.9</w:t>
      </w:r>
      <w:r>
        <w:rPr>
          <w:rFonts w:eastAsia="仿宋_GB2312"/>
          <w:sz w:val="24"/>
        </w:rPr>
        <w:t xml:space="preserve"> billion.</w:t>
      </w:r>
      <w:r>
        <w:rPr>
          <w:rFonts w:hint="eastAsia" w:eastAsia="仿宋_GB2312"/>
          <w:sz w:val="24"/>
        </w:rPr>
        <w:t xml:space="preserve"> Due to </w:t>
      </w:r>
      <w:r>
        <w:rPr>
          <w:rFonts w:eastAsia="仿宋_GB2312"/>
          <w:sz w:val="24"/>
        </w:rPr>
        <w:t xml:space="preserve">a </w:t>
      </w:r>
      <w:r>
        <w:rPr>
          <w:rFonts w:hint="eastAsia" w:eastAsia="仿宋_GB2312"/>
          <w:sz w:val="24"/>
        </w:rPr>
        <w:t xml:space="preserve">strong demand for loans as well as </w:t>
      </w:r>
      <w:r>
        <w:rPr>
          <w:rFonts w:eastAsia="仿宋_GB2312"/>
          <w:sz w:val="24"/>
        </w:rPr>
        <w:t xml:space="preserve">a change </w:t>
      </w:r>
      <w:r>
        <w:rPr>
          <w:rFonts w:hint="eastAsia" w:eastAsia="仿宋_GB2312"/>
          <w:sz w:val="24"/>
        </w:rPr>
        <w:t xml:space="preserve">from quasi-credits to loans, compared with the same period of </w:t>
      </w:r>
      <w:r>
        <w:rPr>
          <w:rFonts w:eastAsia="仿宋_GB2312"/>
          <w:sz w:val="24"/>
        </w:rPr>
        <w:t xml:space="preserve">the </w:t>
      </w:r>
      <w:r>
        <w:rPr>
          <w:rFonts w:hint="eastAsia" w:eastAsia="仿宋_GB2312"/>
          <w:sz w:val="24"/>
        </w:rPr>
        <w:t>last year more loans were extended</w:t>
      </w:r>
      <w:r>
        <w:rPr>
          <w:rFonts w:eastAsia="仿宋_GB2312"/>
          <w:sz w:val="24"/>
        </w:rPr>
        <w:t xml:space="preserve"> this year</w:t>
      </w:r>
      <w:r>
        <w:rPr>
          <w:rFonts w:hint="eastAsia" w:eastAsia="仿宋_GB2312"/>
          <w:sz w:val="24"/>
        </w:rPr>
        <w:t xml:space="preserve">.  </w:t>
      </w:r>
      <w:r>
        <w:rPr>
          <w:rFonts w:eastAsia="仿宋_GB2312"/>
          <w:sz w:val="24"/>
        </w:rPr>
        <w:t xml:space="preserve">  </w:t>
      </w:r>
    </w:p>
    <w:p>
      <w:pPr>
        <w:textAlignment w:val="center"/>
        <w:rPr>
          <w:rFonts w:eastAsia="仿宋_GB2312"/>
          <w:sz w:val="24"/>
        </w:rPr>
      </w:pPr>
      <w:r>
        <w:rPr>
          <w:rFonts w:eastAsia="仿宋_GB2312"/>
          <w:sz w:val="24"/>
        </w:rPr>
        <w:t xml:space="preserve"> </w:t>
      </w:r>
    </w:p>
    <w:p>
      <w:pPr>
        <w:textAlignment w:val="center"/>
        <w:rPr>
          <w:rFonts w:eastAsia="仿宋_GB2312"/>
          <w:sz w:val="24"/>
        </w:rPr>
      </w:pPr>
      <w:r>
        <w:rPr>
          <w:rFonts w:hint="eastAsia" w:eastAsia="仿宋_GB2312"/>
          <w:b/>
          <w:bCs/>
          <w:sz w:val="24"/>
        </w:rPr>
        <w:t xml:space="preserve">The share of </w:t>
      </w:r>
      <w:r>
        <w:rPr>
          <w:rFonts w:eastAsia="仿宋_GB2312"/>
          <w:b/>
          <w:bCs/>
          <w:sz w:val="24"/>
        </w:rPr>
        <w:t xml:space="preserve">new medium- and long-term RMB loans </w:t>
      </w:r>
      <w:r>
        <w:rPr>
          <w:rFonts w:hint="eastAsia" w:eastAsia="仿宋_GB2312"/>
          <w:b/>
          <w:bCs/>
          <w:sz w:val="24"/>
        </w:rPr>
        <w:t xml:space="preserve">declined. </w:t>
      </w:r>
      <w:r>
        <w:rPr>
          <w:rFonts w:eastAsia="仿宋_GB2312"/>
          <w:sz w:val="24"/>
        </w:rPr>
        <w:t xml:space="preserve">Compared with the beginning of the year, medium- and long-term RMB loans increased by RMB </w:t>
      </w:r>
      <w:r>
        <w:rPr>
          <w:rFonts w:hint="eastAsia" w:eastAsia="仿宋_GB2312"/>
          <w:sz w:val="24"/>
        </w:rPr>
        <w:t>3</w:t>
      </w:r>
      <w:r>
        <w:rPr>
          <w:rFonts w:eastAsia="仿宋_GB2312"/>
          <w:sz w:val="24"/>
        </w:rPr>
        <w:t xml:space="preserve">.7 trillion, representing a </w:t>
      </w:r>
      <w:r>
        <w:rPr>
          <w:rFonts w:hint="eastAsia" w:eastAsia="仿宋_GB2312"/>
          <w:sz w:val="24"/>
        </w:rPr>
        <w:t>de</w:t>
      </w:r>
      <w:r>
        <w:rPr>
          <w:rFonts w:eastAsia="仿宋_GB2312"/>
          <w:sz w:val="24"/>
        </w:rPr>
        <w:t xml:space="preserve">celeration of RMB </w:t>
      </w:r>
      <w:r>
        <w:rPr>
          <w:rFonts w:hint="eastAsia" w:eastAsia="仿宋_GB2312"/>
          <w:sz w:val="24"/>
        </w:rPr>
        <w:t>389.2</w:t>
      </w:r>
      <w:r>
        <w:rPr>
          <w:rFonts w:eastAsia="仿宋_GB2312"/>
          <w:sz w:val="24"/>
        </w:rPr>
        <w:t xml:space="preserve"> </w:t>
      </w:r>
      <w:r>
        <w:rPr>
          <w:rFonts w:hint="eastAsia" w:eastAsia="仿宋_GB2312"/>
          <w:sz w:val="24"/>
        </w:rPr>
        <w:t>b</w:t>
      </w:r>
      <w:r>
        <w:rPr>
          <w:rFonts w:eastAsia="仿宋_GB2312"/>
          <w:sz w:val="24"/>
        </w:rPr>
        <w:t xml:space="preserve">illion year on year and accounting for </w:t>
      </w:r>
      <w:r>
        <w:rPr>
          <w:rFonts w:hint="eastAsia" w:eastAsia="仿宋_GB2312"/>
          <w:sz w:val="24"/>
        </w:rPr>
        <w:t>77.0</w:t>
      </w:r>
      <w:r>
        <w:rPr>
          <w:rFonts w:eastAsia="仿宋_GB2312"/>
          <w:sz w:val="24"/>
        </w:rPr>
        <w:t xml:space="preserve"> percent of the total new loans, </w:t>
      </w:r>
      <w:r>
        <w:rPr>
          <w:rFonts w:hint="eastAsia" w:eastAsia="仿宋_GB2312"/>
          <w:sz w:val="24"/>
        </w:rPr>
        <w:t>down</w:t>
      </w:r>
      <w:r>
        <w:rPr>
          <w:rFonts w:eastAsia="仿宋_GB2312"/>
          <w:sz w:val="24"/>
        </w:rPr>
        <w:t xml:space="preserve"> </w:t>
      </w:r>
      <w:r>
        <w:rPr>
          <w:rFonts w:hint="eastAsia" w:eastAsia="仿宋_GB2312"/>
          <w:sz w:val="24"/>
        </w:rPr>
        <w:t>20.8</w:t>
      </w:r>
      <w:r>
        <w:rPr>
          <w:rFonts w:eastAsia="仿宋_GB2312"/>
          <w:sz w:val="24"/>
        </w:rPr>
        <w:t xml:space="preserve"> percentage points </w:t>
      </w:r>
      <w:r>
        <w:rPr>
          <w:rFonts w:hint="eastAsia" w:eastAsia="仿宋_GB2312"/>
          <w:sz w:val="24"/>
        </w:rPr>
        <w:t>year on year</w:t>
      </w:r>
      <w:r>
        <w:rPr>
          <w:rFonts w:eastAsia="仿宋_GB2312"/>
          <w:sz w:val="24"/>
        </w:rPr>
        <w:t>.</w:t>
      </w:r>
      <w:r>
        <w:rPr>
          <w:rFonts w:hint="eastAsia" w:eastAsia="仿宋_GB2312"/>
          <w:sz w:val="24"/>
        </w:rPr>
        <w:t xml:space="preserve"> Medium- and long-term loans to industries with excessive capacity continued to slow down.</w:t>
      </w:r>
      <w:r>
        <w:rPr>
          <w:rFonts w:eastAsia="仿宋_GB2312"/>
          <w:sz w:val="24"/>
        </w:rPr>
        <w:t xml:space="preserve"> Broken down by sectors, </w:t>
      </w:r>
      <w:r>
        <w:rPr>
          <w:rFonts w:hint="eastAsia" w:eastAsia="仿宋_GB2312"/>
          <w:sz w:val="24"/>
        </w:rPr>
        <w:t xml:space="preserve">growth of </w:t>
      </w:r>
      <w:r>
        <w:rPr>
          <w:rFonts w:eastAsia="仿宋_GB2312"/>
          <w:sz w:val="24"/>
        </w:rPr>
        <w:t xml:space="preserve">RMB loans to the household sector had </w:t>
      </w:r>
      <w:r>
        <w:rPr>
          <w:rFonts w:hint="eastAsia" w:eastAsia="仿宋_GB2312"/>
          <w:sz w:val="24"/>
        </w:rPr>
        <w:t>declined to</w:t>
      </w:r>
      <w:r>
        <w:rPr>
          <w:rFonts w:eastAsia="仿宋_GB2312"/>
          <w:sz w:val="24"/>
        </w:rPr>
        <w:t xml:space="preserve"> 2</w:t>
      </w:r>
      <w:r>
        <w:rPr>
          <w:rFonts w:hint="eastAsia" w:eastAsia="仿宋_GB2312"/>
          <w:sz w:val="24"/>
        </w:rPr>
        <w:t>0.0</w:t>
      </w:r>
      <w:r>
        <w:rPr>
          <w:rFonts w:eastAsia="仿宋_GB2312"/>
          <w:sz w:val="24"/>
        </w:rPr>
        <w:t xml:space="preserve"> percent by end-</w:t>
      </w:r>
      <w:r>
        <w:rPr>
          <w:rFonts w:hint="eastAsia" w:eastAsia="仿宋_GB2312"/>
          <w:sz w:val="24"/>
        </w:rPr>
        <w:t>March</w:t>
      </w:r>
      <w:r>
        <w:rPr>
          <w:rFonts w:eastAsia="仿宋_GB2312"/>
          <w:sz w:val="24"/>
        </w:rPr>
        <w:t xml:space="preserve">, which was </w:t>
      </w:r>
      <w:r>
        <w:rPr>
          <w:rFonts w:hint="eastAsia" w:eastAsia="仿宋_GB2312"/>
          <w:sz w:val="24"/>
        </w:rPr>
        <w:t>1.4</w:t>
      </w:r>
      <w:r>
        <w:rPr>
          <w:rFonts w:eastAsia="仿宋_GB2312"/>
          <w:sz w:val="24"/>
        </w:rPr>
        <w:t xml:space="preserve"> percentage points lower than th</w:t>
      </w:r>
      <w:r>
        <w:rPr>
          <w:rFonts w:hint="eastAsia" w:eastAsia="仿宋_GB2312"/>
          <w:sz w:val="24"/>
        </w:rPr>
        <w:t>at</w:t>
      </w:r>
      <w:r>
        <w:rPr>
          <w:rFonts w:eastAsia="仿宋_GB2312"/>
          <w:sz w:val="24"/>
        </w:rPr>
        <w:t xml:space="preserve"> at end-201</w:t>
      </w:r>
      <w:r>
        <w:rPr>
          <w:rFonts w:hint="eastAsia" w:eastAsia="仿宋_GB2312"/>
          <w:sz w:val="24"/>
        </w:rPr>
        <w:t>7</w:t>
      </w:r>
      <w:r>
        <w:rPr>
          <w:rFonts w:eastAsia="仿宋_GB2312"/>
          <w:sz w:val="24"/>
        </w:rPr>
        <w:t xml:space="preserve">. In particular, growth of mortgage loans </w:t>
      </w:r>
      <w:r>
        <w:rPr>
          <w:rFonts w:hint="eastAsia" w:eastAsia="仿宋_GB2312"/>
          <w:sz w:val="24"/>
        </w:rPr>
        <w:t xml:space="preserve">continued to </w:t>
      </w:r>
      <w:r>
        <w:rPr>
          <w:rFonts w:eastAsia="仿宋_GB2312"/>
          <w:sz w:val="24"/>
        </w:rPr>
        <w:t>moderate</w:t>
      </w:r>
      <w:r>
        <w:rPr>
          <w:rFonts w:hint="eastAsia" w:eastAsia="仿宋_GB2312"/>
          <w:sz w:val="24"/>
        </w:rPr>
        <w:t xml:space="preserve">. At end-March, outstanding mortgage loans </w:t>
      </w:r>
      <w:r>
        <w:rPr>
          <w:rFonts w:eastAsia="仿宋_GB2312"/>
          <w:sz w:val="24"/>
        </w:rPr>
        <w:t xml:space="preserve">were growing </w:t>
      </w:r>
      <w:r>
        <w:rPr>
          <w:rFonts w:hint="eastAsia" w:eastAsia="仿宋_GB2312"/>
          <w:sz w:val="24"/>
        </w:rPr>
        <w:t xml:space="preserve">by 20.0 percent year on year, marking </w:t>
      </w:r>
      <w:r>
        <w:rPr>
          <w:rFonts w:eastAsia="仿宋_GB2312"/>
          <w:sz w:val="24"/>
        </w:rPr>
        <w:t>a decline for the</w:t>
      </w:r>
      <w:r>
        <w:rPr>
          <w:rFonts w:hint="eastAsia" w:eastAsia="仿宋_GB2312"/>
          <w:sz w:val="24"/>
        </w:rPr>
        <w:t xml:space="preserve"> </w:t>
      </w:r>
      <w:r>
        <w:rPr>
          <w:rFonts w:eastAsia="仿宋_GB2312"/>
          <w:sz w:val="24"/>
        </w:rPr>
        <w:t>thirteenth</w:t>
      </w:r>
      <w:r>
        <w:rPr>
          <w:rFonts w:hint="eastAsia" w:eastAsia="仿宋_GB2312"/>
          <w:sz w:val="24"/>
        </w:rPr>
        <w:t xml:space="preserve"> consecutive month. Compared with the beginning of the year, mortgage loans increased by RMB 994.4 billion, representing a deceleration of RMB 173.0 billion year on year and accounting for 20.5 percent of the total new loans, down 7.2 percentage points year on year. Other loans to the household sector increased by RMB 758.7 billion compared with the beginning of the year, </w:t>
      </w:r>
      <w:r>
        <w:rPr>
          <w:rFonts w:eastAsia="仿宋_GB2312"/>
          <w:sz w:val="24"/>
        </w:rPr>
        <w:t>representing</w:t>
      </w:r>
      <w:r>
        <w:rPr>
          <w:rFonts w:hint="eastAsia" w:eastAsia="仿宋_GB2312"/>
          <w:sz w:val="24"/>
        </w:rPr>
        <w:t xml:space="preserve"> an acceleration of RMB 79.1 billion year on year. </w:t>
      </w:r>
      <w:r>
        <w:rPr>
          <w:rFonts w:eastAsia="仿宋_GB2312"/>
          <w:sz w:val="24"/>
        </w:rPr>
        <w:t xml:space="preserve">Loans to non-financial enterprises and government departments and organizations </w:t>
      </w:r>
      <w:r>
        <w:rPr>
          <w:rFonts w:hint="eastAsia" w:eastAsia="仿宋_GB2312"/>
          <w:sz w:val="24"/>
        </w:rPr>
        <w:t>increased by</w:t>
      </w:r>
      <w:r>
        <w:rPr>
          <w:rFonts w:eastAsia="仿宋_GB2312"/>
          <w:sz w:val="24"/>
        </w:rPr>
        <w:t xml:space="preserve"> RMB </w:t>
      </w:r>
      <w:r>
        <w:rPr>
          <w:rFonts w:hint="eastAsia" w:eastAsia="仿宋_GB2312"/>
          <w:sz w:val="24"/>
        </w:rPr>
        <w:t>3.1</w:t>
      </w:r>
      <w:r>
        <w:rPr>
          <w:rFonts w:eastAsia="仿宋_GB2312"/>
          <w:sz w:val="24"/>
        </w:rPr>
        <w:t xml:space="preserve"> trillion from the beginning of the year</w:t>
      </w:r>
      <w:r>
        <w:rPr>
          <w:rFonts w:hint="eastAsia" w:eastAsia="仿宋_GB2312"/>
          <w:sz w:val="24"/>
        </w:rPr>
        <w:t>,</w:t>
      </w:r>
      <w:r>
        <w:rPr>
          <w:rFonts w:eastAsia="仿宋_GB2312"/>
          <w:sz w:val="24"/>
        </w:rPr>
        <w:t xml:space="preserve"> representing an acceleration of RMB </w:t>
      </w:r>
      <w:r>
        <w:rPr>
          <w:rFonts w:hint="eastAsia" w:eastAsia="仿宋_GB2312"/>
          <w:sz w:val="24"/>
        </w:rPr>
        <w:t>437.6</w:t>
      </w:r>
      <w:r>
        <w:rPr>
          <w:rFonts w:eastAsia="仿宋_GB2312"/>
          <w:sz w:val="24"/>
        </w:rPr>
        <w:t xml:space="preserve"> billion </w:t>
      </w:r>
      <w:r>
        <w:rPr>
          <w:rFonts w:hint="eastAsia" w:eastAsia="仿宋_GB2312"/>
          <w:sz w:val="24"/>
        </w:rPr>
        <w:t>year on year</w:t>
      </w:r>
      <w:r>
        <w:rPr>
          <w:rFonts w:eastAsia="仿宋_GB2312"/>
          <w:sz w:val="24"/>
        </w:rPr>
        <w:t xml:space="preserve">. Broken down by type of institution, </w:t>
      </w:r>
      <w:r>
        <w:rPr>
          <w:rFonts w:hint="eastAsia" w:eastAsia="仿宋_GB2312"/>
          <w:sz w:val="24"/>
        </w:rPr>
        <w:t>domestic</w:t>
      </w:r>
      <w:r>
        <w:rPr>
          <w:rFonts w:eastAsia="仿宋_GB2312"/>
          <w:sz w:val="24"/>
        </w:rPr>
        <w:t xml:space="preserve"> </w:t>
      </w:r>
      <w:r>
        <w:rPr>
          <w:rFonts w:hint="eastAsia" w:eastAsia="仿宋_GB2312"/>
          <w:sz w:val="24"/>
        </w:rPr>
        <w:t>small- and medium</w:t>
      </w:r>
      <w:r>
        <w:rPr>
          <w:rFonts w:eastAsia="仿宋_GB2312"/>
          <w:sz w:val="24"/>
        </w:rPr>
        <w:t>-sized banks registered stronger lending growth</w:t>
      </w:r>
      <w:r>
        <w:rPr>
          <w:rFonts w:hint="eastAsia" w:eastAsia="仿宋_GB2312"/>
          <w:sz w:val="24"/>
        </w:rPr>
        <w:t xml:space="preserve"> year on year</w:t>
      </w:r>
      <w:r>
        <w:rPr>
          <w:rFonts w:eastAsia="仿宋_GB2312"/>
          <w:sz w:val="24"/>
        </w:rPr>
        <w:t>.</w:t>
      </w:r>
    </w:p>
    <w:p>
      <w:pPr>
        <w:textAlignment w:val="center"/>
        <w:rPr>
          <w:b/>
          <w:sz w:val="24"/>
        </w:rPr>
      </w:pPr>
      <w:r>
        <w:rPr>
          <w:rFonts w:eastAsia="仿宋_GB2312"/>
          <w:sz w:val="24"/>
        </w:rPr>
        <w:t xml:space="preserve"> </w:t>
      </w:r>
    </w:p>
    <w:p>
      <w:pPr>
        <w:keepNext/>
        <w:jc w:val="center"/>
        <w:rPr>
          <w:b/>
          <w:sz w:val="24"/>
        </w:rPr>
      </w:pPr>
      <w:bookmarkStart w:id="18" w:name="_Toc517190857"/>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2</w:t>
      </w:r>
      <w:r>
        <w:rPr>
          <w:b/>
          <w:sz w:val="24"/>
        </w:rPr>
        <w:fldChar w:fldCharType="end"/>
      </w:r>
      <w:r>
        <w:rPr>
          <w:b/>
          <w:sz w:val="24"/>
        </w:rPr>
        <w:t xml:space="preserve">. Structure of RMB Loans in </w:t>
      </w:r>
      <w:r>
        <w:rPr>
          <w:rFonts w:hint="eastAsia"/>
          <w:b/>
          <w:sz w:val="24"/>
        </w:rPr>
        <w:t>Q1 of 2018</w:t>
      </w:r>
      <w:bookmarkEnd w:id="18"/>
    </w:p>
    <w:p>
      <w:pPr>
        <w:ind w:right="105"/>
        <w:jc w:val="right"/>
        <w:rPr>
          <w:rFonts w:eastAsia="仿宋_GB2312"/>
          <w:sz w:val="24"/>
        </w:rPr>
      </w:pPr>
      <w:r>
        <w:rPr>
          <w:sz w:val="24"/>
        </w:rPr>
        <w:t>RMB 100 million</w:t>
      </w:r>
    </w:p>
    <w:tbl>
      <w:tblPr>
        <w:tblStyle w:val="96"/>
        <w:tblW w:w="8115" w:type="dxa"/>
        <w:jc w:val="center"/>
        <w:tblInd w:w="0" w:type="dxa"/>
        <w:tblLayout w:type="fixed"/>
        <w:tblCellMar>
          <w:top w:w="0" w:type="dxa"/>
          <w:left w:w="0" w:type="dxa"/>
          <w:bottom w:w="0" w:type="dxa"/>
          <w:right w:w="0" w:type="dxa"/>
        </w:tblCellMar>
      </w:tblPr>
      <w:tblGrid>
        <w:gridCol w:w="2694"/>
        <w:gridCol w:w="1364"/>
        <w:gridCol w:w="1045"/>
        <w:gridCol w:w="1560"/>
        <w:gridCol w:w="1452"/>
      </w:tblGrid>
      <w:tr>
        <w:tblPrEx>
          <w:tblLayout w:type="fixed"/>
          <w:tblCellMar>
            <w:top w:w="0" w:type="dxa"/>
            <w:left w:w="0" w:type="dxa"/>
            <w:bottom w:w="0" w:type="dxa"/>
            <w:right w:w="0" w:type="dxa"/>
          </w:tblCellMar>
        </w:tblPrEx>
        <w:trPr>
          <w:trHeight w:val="315" w:hRule="atLeast"/>
          <w:jc w:val="center"/>
        </w:trPr>
        <w:tc>
          <w:tcPr>
            <w:tcW w:w="2694" w:type="dxa"/>
            <w:tcBorders>
              <w:top w:val="single" w:color="339966" w:sz="12" w:space="0"/>
              <w:left w:val="nil"/>
              <w:bottom w:val="single" w:color="339966" w:sz="12" w:space="0"/>
              <w:right w:val="single" w:color="339966" w:sz="4" w:space="0"/>
            </w:tcBorders>
            <w:shd w:val="clear" w:color="auto" w:fill="CCFFCC"/>
            <w:vAlign w:val="center"/>
          </w:tcPr>
          <w:p>
            <w:pPr>
              <w:rPr>
                <w:sz w:val="18"/>
                <w:szCs w:val="18"/>
              </w:rPr>
            </w:pPr>
            <w:r>
              <w:rPr>
                <w:sz w:val="18"/>
                <w:szCs w:val="18"/>
              </w:rPr>
              <w:t>　</w:t>
            </w:r>
          </w:p>
        </w:tc>
        <w:tc>
          <w:tcPr>
            <w:tcW w:w="1364" w:type="dxa"/>
            <w:tcBorders>
              <w:top w:val="single" w:color="339966" w:sz="12" w:space="0"/>
              <w:left w:val="nil"/>
              <w:bottom w:val="single" w:color="339966" w:sz="12" w:space="0"/>
              <w:right w:val="single" w:color="339966" w:sz="6" w:space="0"/>
            </w:tcBorders>
            <w:shd w:val="clear" w:color="auto" w:fill="CCFFCC"/>
            <w:vAlign w:val="center"/>
          </w:tcPr>
          <w:p>
            <w:pPr>
              <w:jc w:val="left"/>
              <w:rPr>
                <w:sz w:val="18"/>
                <w:szCs w:val="18"/>
              </w:rPr>
            </w:pPr>
            <w:r>
              <w:rPr>
                <w:sz w:val="18"/>
                <w:szCs w:val="18"/>
              </w:rPr>
              <w:t>Outstanding amount at end-</w:t>
            </w:r>
            <w:r>
              <w:rPr>
                <w:rFonts w:hint="eastAsia"/>
                <w:sz w:val="18"/>
                <w:szCs w:val="18"/>
              </w:rPr>
              <w:t>March</w:t>
            </w:r>
          </w:p>
        </w:tc>
        <w:tc>
          <w:tcPr>
            <w:tcW w:w="1045" w:type="dxa"/>
            <w:tcBorders>
              <w:top w:val="single" w:color="339966" w:sz="12" w:space="0"/>
              <w:left w:val="nil"/>
              <w:bottom w:val="single" w:color="339966" w:sz="12" w:space="0"/>
              <w:right w:val="single" w:color="339966" w:sz="6" w:space="0"/>
            </w:tcBorders>
            <w:shd w:val="clear" w:color="auto" w:fill="CCFFCC"/>
            <w:vAlign w:val="center"/>
          </w:tcPr>
          <w:p>
            <w:pPr>
              <w:jc w:val="left"/>
              <w:rPr>
                <w:color w:val="000000"/>
                <w:sz w:val="18"/>
                <w:szCs w:val="18"/>
              </w:rPr>
            </w:pPr>
            <w:r>
              <w:rPr>
                <w:color w:val="000000"/>
                <w:sz w:val="18"/>
                <w:szCs w:val="18"/>
              </w:rPr>
              <w:t>Year-on-</w:t>
            </w:r>
          </w:p>
          <w:p>
            <w:pPr>
              <w:jc w:val="left"/>
              <w:rPr>
                <w:sz w:val="18"/>
                <w:szCs w:val="18"/>
              </w:rPr>
            </w:pPr>
            <w:r>
              <w:rPr>
                <w:color w:val="000000"/>
                <w:sz w:val="18"/>
                <w:szCs w:val="18"/>
              </w:rPr>
              <w:t xml:space="preserve">year </w:t>
            </w:r>
            <w:r>
              <w:rPr>
                <w:sz w:val="18"/>
                <w:szCs w:val="18"/>
              </w:rPr>
              <w:t>growth</w:t>
            </w:r>
          </w:p>
        </w:tc>
        <w:tc>
          <w:tcPr>
            <w:tcW w:w="1560" w:type="dxa"/>
            <w:tcBorders>
              <w:top w:val="single" w:color="339966" w:sz="12" w:space="0"/>
              <w:left w:val="nil"/>
              <w:bottom w:val="single" w:color="339966" w:sz="12" w:space="0"/>
              <w:right w:val="single" w:color="339966" w:sz="6" w:space="0"/>
            </w:tcBorders>
            <w:shd w:val="clear" w:color="auto" w:fill="CCFFCC"/>
            <w:vAlign w:val="center"/>
          </w:tcPr>
          <w:p>
            <w:pPr>
              <w:jc w:val="left"/>
              <w:rPr>
                <w:sz w:val="18"/>
                <w:szCs w:val="18"/>
              </w:rPr>
            </w:pPr>
            <w:r>
              <w:rPr>
                <w:sz w:val="18"/>
                <w:szCs w:val="18"/>
              </w:rPr>
              <w:t>Increase from the beginning of the year</w:t>
            </w:r>
          </w:p>
        </w:tc>
        <w:tc>
          <w:tcPr>
            <w:tcW w:w="1452" w:type="dxa"/>
            <w:tcBorders>
              <w:top w:val="single" w:color="339966" w:sz="12" w:space="0"/>
              <w:left w:val="nil"/>
              <w:bottom w:val="single" w:color="339966" w:sz="12" w:space="0"/>
              <w:right w:val="nil"/>
            </w:tcBorders>
            <w:shd w:val="clear" w:color="auto" w:fill="CCFFCC"/>
            <w:vAlign w:val="center"/>
          </w:tcPr>
          <w:p>
            <w:pPr>
              <w:jc w:val="left"/>
              <w:rPr>
                <w:sz w:val="18"/>
                <w:szCs w:val="18"/>
              </w:rPr>
            </w:pPr>
            <w:r>
              <w:rPr>
                <w:sz w:val="18"/>
                <w:szCs w:val="18"/>
              </w:rPr>
              <w:t>Change in the increase from the same period of the last year</w:t>
            </w:r>
          </w:p>
        </w:tc>
      </w:tr>
      <w:tr>
        <w:tblPrEx>
          <w:tblLayout w:type="fixed"/>
          <w:tblCellMar>
            <w:top w:w="0" w:type="dxa"/>
            <w:left w:w="0" w:type="dxa"/>
            <w:bottom w:w="0" w:type="dxa"/>
            <w:right w:w="0" w:type="dxa"/>
          </w:tblCellMar>
        </w:tblPrEx>
        <w:trPr>
          <w:trHeight w:val="300" w:hRule="atLeast"/>
          <w:jc w:val="center"/>
        </w:trPr>
        <w:tc>
          <w:tcPr>
            <w:tcW w:w="2694" w:type="dxa"/>
            <w:tcBorders>
              <w:top w:val="nil"/>
              <w:left w:val="nil"/>
              <w:bottom w:val="nil"/>
              <w:right w:val="single" w:color="339966" w:sz="4" w:space="0"/>
            </w:tcBorders>
            <w:vAlign w:val="center"/>
          </w:tcPr>
          <w:p>
            <w:pPr>
              <w:rPr>
                <w:sz w:val="18"/>
                <w:szCs w:val="18"/>
              </w:rPr>
            </w:pPr>
            <w:r>
              <w:rPr>
                <w:sz w:val="18"/>
                <w:szCs w:val="18"/>
              </w:rPr>
              <w:t>RMB loans to</w:t>
            </w:r>
          </w:p>
        </w:tc>
        <w:tc>
          <w:tcPr>
            <w:tcW w:w="1364" w:type="dxa"/>
            <w:tcBorders>
              <w:top w:val="nil"/>
              <w:left w:val="nil"/>
              <w:bottom w:val="nil"/>
              <w:right w:val="single" w:color="339966" w:sz="6" w:space="0"/>
            </w:tcBorders>
            <w:vAlign w:val="center"/>
          </w:tcPr>
          <w:p>
            <w:pPr>
              <w:ind w:firstLine="360" w:firstLineChars="200"/>
              <w:jc w:val="right"/>
              <w:rPr>
                <w:sz w:val="18"/>
                <w:szCs w:val="18"/>
              </w:rPr>
            </w:pPr>
            <w:r>
              <w:rPr>
                <w:sz w:val="18"/>
                <w:szCs w:val="18"/>
              </w:rPr>
              <w:t>1,</w:t>
            </w:r>
            <w:r>
              <w:rPr>
                <w:rFonts w:hint="eastAsia"/>
                <w:sz w:val="18"/>
                <w:szCs w:val="18"/>
              </w:rPr>
              <w:t>249,814</w:t>
            </w:r>
          </w:p>
        </w:tc>
        <w:tc>
          <w:tcPr>
            <w:tcW w:w="1045" w:type="dxa"/>
            <w:tcBorders>
              <w:top w:val="nil"/>
              <w:left w:val="nil"/>
              <w:bottom w:val="nil"/>
              <w:right w:val="single" w:color="339966" w:sz="6" w:space="0"/>
            </w:tcBorders>
            <w:vAlign w:val="center"/>
          </w:tcPr>
          <w:p>
            <w:pPr>
              <w:ind w:left="441"/>
              <w:jc w:val="right"/>
              <w:rPr>
                <w:sz w:val="18"/>
                <w:szCs w:val="18"/>
              </w:rPr>
            </w:pPr>
            <w:r>
              <w:rPr>
                <w:sz w:val="18"/>
                <w:szCs w:val="18"/>
              </w:rPr>
              <w:t>12.</w:t>
            </w:r>
            <w:r>
              <w:rPr>
                <w:rFonts w:hint="eastAsia"/>
                <w:sz w:val="18"/>
                <w:szCs w:val="18"/>
              </w:rPr>
              <w:t>8</w:t>
            </w:r>
            <w:r>
              <w:rPr>
                <w:sz w:val="18"/>
                <w:szCs w:val="18"/>
              </w:rPr>
              <w:t>%</w:t>
            </w:r>
          </w:p>
        </w:tc>
        <w:tc>
          <w:tcPr>
            <w:tcW w:w="1560" w:type="dxa"/>
            <w:tcBorders>
              <w:top w:val="nil"/>
              <w:left w:val="nil"/>
              <w:bottom w:val="nil"/>
              <w:right w:val="single" w:color="339966" w:sz="6" w:space="0"/>
            </w:tcBorders>
            <w:vAlign w:val="center"/>
          </w:tcPr>
          <w:p>
            <w:pPr>
              <w:ind w:left="441"/>
              <w:jc w:val="right"/>
              <w:rPr>
                <w:sz w:val="18"/>
                <w:szCs w:val="18"/>
              </w:rPr>
            </w:pPr>
            <w:r>
              <w:rPr>
                <w:rFonts w:hint="eastAsia"/>
                <w:sz w:val="18"/>
                <w:szCs w:val="18"/>
              </w:rPr>
              <w:t>48,552</w:t>
            </w:r>
          </w:p>
        </w:tc>
        <w:tc>
          <w:tcPr>
            <w:tcW w:w="1452" w:type="dxa"/>
            <w:tcBorders>
              <w:top w:val="nil"/>
              <w:left w:val="nil"/>
              <w:bottom w:val="nil"/>
              <w:right w:val="nil"/>
            </w:tcBorders>
            <w:vAlign w:val="center"/>
          </w:tcPr>
          <w:p>
            <w:pPr>
              <w:ind w:left="441"/>
              <w:jc w:val="right"/>
              <w:rPr>
                <w:sz w:val="18"/>
                <w:szCs w:val="18"/>
              </w:rPr>
            </w:pPr>
            <w:r>
              <w:rPr>
                <w:rFonts w:hint="eastAsia"/>
                <w:sz w:val="18"/>
                <w:szCs w:val="18"/>
              </w:rPr>
              <w:t>6,339</w:t>
            </w:r>
          </w:p>
        </w:tc>
      </w:tr>
      <w:tr>
        <w:tblPrEx>
          <w:tblLayout w:type="fixed"/>
          <w:tblCellMar>
            <w:top w:w="0" w:type="dxa"/>
            <w:left w:w="0" w:type="dxa"/>
            <w:bottom w:w="0" w:type="dxa"/>
            <w:right w:w="0" w:type="dxa"/>
          </w:tblCellMar>
        </w:tblPrEx>
        <w:trPr>
          <w:trHeight w:val="285" w:hRule="atLeast"/>
          <w:jc w:val="center"/>
        </w:trPr>
        <w:tc>
          <w:tcPr>
            <w:tcW w:w="2694" w:type="dxa"/>
            <w:tcBorders>
              <w:top w:val="nil"/>
              <w:left w:val="nil"/>
              <w:bottom w:val="nil"/>
              <w:right w:val="single" w:color="339966" w:sz="4" w:space="0"/>
            </w:tcBorders>
            <w:shd w:val="clear" w:color="auto" w:fill="CCFFCC"/>
            <w:vAlign w:val="center"/>
          </w:tcPr>
          <w:p>
            <w:pPr>
              <w:ind w:left="441"/>
              <w:rPr>
                <w:sz w:val="18"/>
                <w:szCs w:val="18"/>
              </w:rPr>
            </w:pPr>
            <w:r>
              <w:rPr>
                <w:sz w:val="18"/>
                <w:szCs w:val="18"/>
              </w:rPr>
              <w:t>Households</w:t>
            </w:r>
          </w:p>
        </w:tc>
        <w:tc>
          <w:tcPr>
            <w:tcW w:w="1364" w:type="dxa"/>
            <w:tcBorders>
              <w:top w:val="nil"/>
              <w:left w:val="nil"/>
              <w:bottom w:val="nil"/>
              <w:right w:val="single" w:color="339966" w:sz="6" w:space="0"/>
            </w:tcBorders>
            <w:shd w:val="clear" w:color="auto" w:fill="CCFFCC"/>
            <w:vAlign w:val="center"/>
          </w:tcPr>
          <w:p>
            <w:pPr>
              <w:ind w:firstLine="540" w:firstLineChars="300"/>
              <w:jc w:val="right"/>
              <w:rPr>
                <w:sz w:val="18"/>
                <w:szCs w:val="18"/>
              </w:rPr>
            </w:pPr>
            <w:r>
              <w:rPr>
                <w:sz w:val="18"/>
                <w:szCs w:val="18"/>
              </w:rPr>
              <w:t>4</w:t>
            </w:r>
            <w:r>
              <w:rPr>
                <w:rFonts w:hint="eastAsia"/>
                <w:sz w:val="18"/>
                <w:szCs w:val="18"/>
              </w:rPr>
              <w:t>22,733</w:t>
            </w:r>
          </w:p>
        </w:tc>
        <w:tc>
          <w:tcPr>
            <w:tcW w:w="1045" w:type="dxa"/>
            <w:tcBorders>
              <w:top w:val="nil"/>
              <w:left w:val="nil"/>
              <w:bottom w:val="nil"/>
              <w:right w:val="single" w:color="339966" w:sz="6" w:space="0"/>
            </w:tcBorders>
            <w:shd w:val="clear" w:color="auto" w:fill="CCFFCC"/>
            <w:vAlign w:val="center"/>
          </w:tcPr>
          <w:p>
            <w:pPr>
              <w:ind w:left="441"/>
              <w:jc w:val="right"/>
              <w:rPr>
                <w:sz w:val="18"/>
                <w:szCs w:val="18"/>
              </w:rPr>
            </w:pPr>
            <w:r>
              <w:rPr>
                <w:sz w:val="18"/>
                <w:szCs w:val="18"/>
              </w:rPr>
              <w:t>2</w:t>
            </w:r>
            <w:r>
              <w:rPr>
                <w:rFonts w:hint="eastAsia"/>
                <w:sz w:val="18"/>
                <w:szCs w:val="18"/>
              </w:rPr>
              <w:t>0.0</w:t>
            </w:r>
            <w:r>
              <w:rPr>
                <w:sz w:val="18"/>
                <w:szCs w:val="18"/>
              </w:rPr>
              <w:t>%</w:t>
            </w:r>
          </w:p>
        </w:tc>
        <w:tc>
          <w:tcPr>
            <w:tcW w:w="1560" w:type="dxa"/>
            <w:tcBorders>
              <w:top w:val="nil"/>
              <w:left w:val="nil"/>
              <w:bottom w:val="nil"/>
              <w:right w:val="single" w:color="339966" w:sz="6" w:space="0"/>
            </w:tcBorders>
            <w:shd w:val="clear" w:color="auto" w:fill="CCFFCC"/>
            <w:vAlign w:val="center"/>
          </w:tcPr>
          <w:p>
            <w:pPr>
              <w:ind w:firstLine="540" w:firstLineChars="300"/>
              <w:jc w:val="right"/>
              <w:rPr>
                <w:sz w:val="18"/>
                <w:szCs w:val="18"/>
              </w:rPr>
            </w:pPr>
            <w:r>
              <w:rPr>
                <w:rFonts w:hint="eastAsia"/>
                <w:sz w:val="18"/>
                <w:szCs w:val="18"/>
              </w:rPr>
              <w:t>17,531</w:t>
            </w:r>
          </w:p>
        </w:tc>
        <w:tc>
          <w:tcPr>
            <w:tcW w:w="1452" w:type="dxa"/>
            <w:tcBorders>
              <w:top w:val="nil"/>
              <w:left w:val="nil"/>
              <w:bottom w:val="nil"/>
              <w:right w:val="nil"/>
            </w:tcBorders>
            <w:shd w:val="clear" w:color="auto" w:fill="CCFFCC"/>
            <w:vAlign w:val="center"/>
          </w:tcPr>
          <w:p>
            <w:pPr>
              <w:ind w:left="441"/>
              <w:jc w:val="right"/>
              <w:rPr>
                <w:sz w:val="18"/>
                <w:szCs w:val="18"/>
              </w:rPr>
            </w:pPr>
            <w:r>
              <w:rPr>
                <w:rFonts w:hint="eastAsia"/>
                <w:sz w:val="18"/>
                <w:szCs w:val="18"/>
              </w:rPr>
              <w:t>-939</w:t>
            </w:r>
          </w:p>
        </w:tc>
      </w:tr>
      <w:tr>
        <w:tblPrEx>
          <w:tblLayout w:type="fixed"/>
          <w:tblCellMar>
            <w:top w:w="0" w:type="dxa"/>
            <w:left w:w="0" w:type="dxa"/>
            <w:bottom w:w="0" w:type="dxa"/>
            <w:right w:w="0" w:type="dxa"/>
          </w:tblCellMar>
        </w:tblPrEx>
        <w:trPr>
          <w:trHeight w:val="300" w:hRule="atLeast"/>
          <w:jc w:val="center"/>
        </w:trPr>
        <w:tc>
          <w:tcPr>
            <w:tcW w:w="2694" w:type="dxa"/>
            <w:tcBorders>
              <w:top w:val="nil"/>
              <w:left w:val="nil"/>
              <w:bottom w:val="nil"/>
              <w:right w:val="single" w:color="339966" w:sz="4" w:space="0"/>
            </w:tcBorders>
            <w:vAlign w:val="center"/>
          </w:tcPr>
          <w:p>
            <w:pPr>
              <w:ind w:left="441"/>
              <w:rPr>
                <w:sz w:val="18"/>
                <w:szCs w:val="18"/>
              </w:rPr>
            </w:pPr>
            <w:r>
              <w:rPr>
                <w:sz w:val="18"/>
                <w:szCs w:val="18"/>
              </w:rPr>
              <w:t>Non-financial enterprises,</w:t>
            </w:r>
          </w:p>
          <w:p>
            <w:pPr>
              <w:ind w:left="441"/>
              <w:rPr>
                <w:sz w:val="18"/>
                <w:szCs w:val="18"/>
              </w:rPr>
            </w:pPr>
            <w:r>
              <w:rPr>
                <w:sz w:val="18"/>
                <w:szCs w:val="18"/>
              </w:rPr>
              <w:t>government departments, and organizations</w:t>
            </w:r>
          </w:p>
        </w:tc>
        <w:tc>
          <w:tcPr>
            <w:tcW w:w="1364" w:type="dxa"/>
            <w:tcBorders>
              <w:top w:val="nil"/>
              <w:left w:val="nil"/>
              <w:bottom w:val="nil"/>
              <w:right w:val="single" w:color="339966" w:sz="6" w:space="0"/>
            </w:tcBorders>
            <w:vAlign w:val="center"/>
          </w:tcPr>
          <w:p>
            <w:pPr>
              <w:ind w:firstLine="540" w:firstLineChars="300"/>
              <w:jc w:val="right"/>
              <w:rPr>
                <w:sz w:val="18"/>
                <w:szCs w:val="18"/>
              </w:rPr>
            </w:pPr>
            <w:r>
              <w:rPr>
                <w:rFonts w:hint="eastAsia"/>
                <w:sz w:val="18"/>
                <w:szCs w:val="18"/>
              </w:rPr>
              <w:t>816,154</w:t>
            </w:r>
          </w:p>
        </w:tc>
        <w:tc>
          <w:tcPr>
            <w:tcW w:w="1045" w:type="dxa"/>
            <w:tcBorders>
              <w:top w:val="nil"/>
              <w:left w:val="nil"/>
              <w:bottom w:val="nil"/>
              <w:right w:val="single" w:color="339966" w:sz="6" w:space="0"/>
            </w:tcBorders>
            <w:vAlign w:val="center"/>
          </w:tcPr>
          <w:p>
            <w:pPr>
              <w:ind w:left="441"/>
              <w:jc w:val="right"/>
              <w:rPr>
                <w:sz w:val="18"/>
                <w:szCs w:val="18"/>
              </w:rPr>
            </w:pPr>
            <w:r>
              <w:rPr>
                <w:sz w:val="18"/>
                <w:szCs w:val="18"/>
              </w:rPr>
              <w:t>9.</w:t>
            </w:r>
            <w:r>
              <w:rPr>
                <w:rFonts w:hint="eastAsia"/>
                <w:sz w:val="18"/>
                <w:szCs w:val="18"/>
              </w:rPr>
              <w:t>6</w:t>
            </w:r>
            <w:r>
              <w:rPr>
                <w:sz w:val="18"/>
                <w:szCs w:val="18"/>
              </w:rPr>
              <w:t>%</w:t>
            </w:r>
          </w:p>
        </w:tc>
        <w:tc>
          <w:tcPr>
            <w:tcW w:w="1560" w:type="dxa"/>
            <w:tcBorders>
              <w:top w:val="nil"/>
              <w:left w:val="nil"/>
              <w:bottom w:val="nil"/>
              <w:right w:val="single" w:color="339966" w:sz="6" w:space="0"/>
            </w:tcBorders>
            <w:vAlign w:val="center"/>
          </w:tcPr>
          <w:p>
            <w:pPr>
              <w:ind w:firstLine="540" w:firstLineChars="300"/>
              <w:jc w:val="right"/>
              <w:rPr>
                <w:sz w:val="18"/>
                <w:szCs w:val="18"/>
              </w:rPr>
            </w:pPr>
            <w:r>
              <w:rPr>
                <w:rFonts w:hint="eastAsia"/>
                <w:sz w:val="18"/>
                <w:szCs w:val="18"/>
              </w:rPr>
              <w:t>30,947</w:t>
            </w:r>
          </w:p>
        </w:tc>
        <w:tc>
          <w:tcPr>
            <w:tcW w:w="1452" w:type="dxa"/>
            <w:tcBorders>
              <w:top w:val="nil"/>
              <w:left w:val="nil"/>
              <w:bottom w:val="nil"/>
              <w:right w:val="nil"/>
            </w:tcBorders>
            <w:vAlign w:val="center"/>
          </w:tcPr>
          <w:p>
            <w:pPr>
              <w:ind w:left="441"/>
              <w:jc w:val="right"/>
              <w:rPr>
                <w:sz w:val="18"/>
                <w:szCs w:val="18"/>
              </w:rPr>
            </w:pPr>
            <w:r>
              <w:rPr>
                <w:rFonts w:hint="eastAsia"/>
                <w:sz w:val="18"/>
                <w:szCs w:val="18"/>
              </w:rPr>
              <w:t>4,376</w:t>
            </w:r>
          </w:p>
        </w:tc>
      </w:tr>
      <w:tr>
        <w:tblPrEx>
          <w:tblLayout w:type="fixed"/>
          <w:tblCellMar>
            <w:top w:w="0" w:type="dxa"/>
            <w:left w:w="0" w:type="dxa"/>
            <w:bottom w:w="0" w:type="dxa"/>
            <w:right w:w="0" w:type="dxa"/>
          </w:tblCellMar>
        </w:tblPrEx>
        <w:trPr>
          <w:trHeight w:val="315" w:hRule="atLeast"/>
          <w:jc w:val="center"/>
        </w:trPr>
        <w:tc>
          <w:tcPr>
            <w:tcW w:w="2694" w:type="dxa"/>
            <w:tcBorders>
              <w:top w:val="nil"/>
              <w:left w:val="nil"/>
              <w:bottom w:val="nil"/>
              <w:right w:val="single" w:color="339966" w:sz="4" w:space="0"/>
            </w:tcBorders>
            <w:shd w:val="clear" w:color="auto" w:fill="CCFFCC"/>
            <w:vAlign w:val="center"/>
          </w:tcPr>
          <w:p>
            <w:pPr>
              <w:ind w:left="441"/>
              <w:rPr>
                <w:sz w:val="18"/>
                <w:szCs w:val="18"/>
              </w:rPr>
            </w:pPr>
            <w:r>
              <w:rPr>
                <w:sz w:val="18"/>
                <w:szCs w:val="18"/>
              </w:rPr>
              <w:t>Non-banking financial</w:t>
            </w:r>
          </w:p>
          <w:p>
            <w:pPr>
              <w:ind w:left="441"/>
              <w:rPr>
                <w:sz w:val="18"/>
                <w:szCs w:val="18"/>
              </w:rPr>
            </w:pPr>
            <w:r>
              <w:rPr>
                <w:sz w:val="18"/>
                <w:szCs w:val="18"/>
              </w:rPr>
              <w:t>institutions</w:t>
            </w:r>
          </w:p>
        </w:tc>
        <w:tc>
          <w:tcPr>
            <w:tcW w:w="1364" w:type="dxa"/>
            <w:tcBorders>
              <w:top w:val="nil"/>
              <w:left w:val="nil"/>
              <w:bottom w:val="nil"/>
              <w:right w:val="single" w:color="339966" w:sz="6" w:space="0"/>
            </w:tcBorders>
            <w:shd w:val="clear" w:color="auto" w:fill="CCFFCC"/>
            <w:vAlign w:val="center"/>
          </w:tcPr>
          <w:p>
            <w:pPr>
              <w:ind w:left="441"/>
              <w:jc w:val="right"/>
              <w:rPr>
                <w:sz w:val="18"/>
                <w:szCs w:val="18"/>
              </w:rPr>
            </w:pPr>
            <w:r>
              <w:rPr>
                <w:sz w:val="18"/>
                <w:szCs w:val="18"/>
              </w:rPr>
              <w:t>6,</w:t>
            </w:r>
            <w:r>
              <w:rPr>
                <w:rFonts w:hint="eastAsia"/>
                <w:sz w:val="18"/>
                <w:szCs w:val="18"/>
              </w:rPr>
              <w:t>217</w:t>
            </w:r>
          </w:p>
        </w:tc>
        <w:tc>
          <w:tcPr>
            <w:tcW w:w="1045" w:type="dxa"/>
            <w:tcBorders>
              <w:top w:val="nil"/>
              <w:left w:val="nil"/>
              <w:bottom w:val="nil"/>
              <w:right w:val="single" w:color="339966" w:sz="6" w:space="0"/>
            </w:tcBorders>
            <w:shd w:val="clear" w:color="auto" w:fill="CCFFCC"/>
            <w:vAlign w:val="center"/>
          </w:tcPr>
          <w:p>
            <w:pPr>
              <w:ind w:left="331"/>
              <w:jc w:val="right"/>
              <w:rPr>
                <w:sz w:val="18"/>
                <w:szCs w:val="18"/>
              </w:rPr>
            </w:pPr>
            <w:r>
              <w:rPr>
                <w:sz w:val="18"/>
                <w:szCs w:val="18"/>
              </w:rPr>
              <w:t>-</w:t>
            </w:r>
            <w:r>
              <w:rPr>
                <w:rFonts w:hint="eastAsia"/>
                <w:sz w:val="18"/>
                <w:szCs w:val="18"/>
              </w:rPr>
              <w:t>7.6</w:t>
            </w:r>
            <w:r>
              <w:rPr>
                <w:sz w:val="18"/>
                <w:szCs w:val="18"/>
              </w:rPr>
              <w:t>%</w:t>
            </w:r>
          </w:p>
        </w:tc>
        <w:tc>
          <w:tcPr>
            <w:tcW w:w="1560" w:type="dxa"/>
            <w:tcBorders>
              <w:top w:val="nil"/>
              <w:left w:val="nil"/>
              <w:bottom w:val="nil"/>
              <w:right w:val="single" w:color="339966" w:sz="6" w:space="0"/>
            </w:tcBorders>
            <w:shd w:val="clear" w:color="auto" w:fill="CCFFCC"/>
            <w:vAlign w:val="center"/>
          </w:tcPr>
          <w:p>
            <w:pPr>
              <w:ind w:firstLine="540" w:firstLineChars="300"/>
              <w:jc w:val="right"/>
              <w:rPr>
                <w:sz w:val="18"/>
                <w:szCs w:val="18"/>
              </w:rPr>
            </w:pPr>
            <w:r>
              <w:rPr>
                <w:sz w:val="18"/>
                <w:szCs w:val="18"/>
              </w:rPr>
              <w:t>-</w:t>
            </w:r>
            <w:r>
              <w:rPr>
                <w:rFonts w:hint="eastAsia"/>
                <w:sz w:val="18"/>
                <w:szCs w:val="18"/>
              </w:rPr>
              <w:t>141</w:t>
            </w:r>
          </w:p>
        </w:tc>
        <w:tc>
          <w:tcPr>
            <w:tcW w:w="1452" w:type="dxa"/>
            <w:tcBorders>
              <w:top w:val="nil"/>
              <w:left w:val="nil"/>
              <w:bottom w:val="nil"/>
              <w:right w:val="nil"/>
            </w:tcBorders>
            <w:shd w:val="clear" w:color="auto" w:fill="CCFFCC"/>
            <w:vAlign w:val="center"/>
          </w:tcPr>
          <w:p>
            <w:pPr>
              <w:ind w:firstLine="360" w:firstLineChars="200"/>
              <w:jc w:val="right"/>
              <w:rPr>
                <w:sz w:val="18"/>
                <w:szCs w:val="18"/>
              </w:rPr>
            </w:pPr>
            <w:r>
              <w:rPr>
                <w:rFonts w:hint="eastAsia"/>
                <w:sz w:val="18"/>
                <w:szCs w:val="18"/>
              </w:rPr>
              <w:t>2,672</w:t>
            </w:r>
          </w:p>
        </w:tc>
      </w:tr>
      <w:tr>
        <w:tblPrEx>
          <w:tblLayout w:type="fixed"/>
          <w:tblCellMar>
            <w:top w:w="0" w:type="dxa"/>
            <w:left w:w="0" w:type="dxa"/>
            <w:bottom w:w="0" w:type="dxa"/>
            <w:right w:w="0" w:type="dxa"/>
          </w:tblCellMar>
        </w:tblPrEx>
        <w:trPr>
          <w:trHeight w:val="315" w:hRule="atLeast"/>
          <w:jc w:val="center"/>
        </w:trPr>
        <w:tc>
          <w:tcPr>
            <w:tcW w:w="2694" w:type="dxa"/>
            <w:tcBorders>
              <w:top w:val="nil"/>
              <w:left w:val="nil"/>
              <w:bottom w:val="single" w:color="339966" w:sz="12" w:space="0"/>
              <w:right w:val="single" w:color="339966" w:sz="4" w:space="0"/>
            </w:tcBorders>
            <w:vAlign w:val="center"/>
          </w:tcPr>
          <w:p>
            <w:pPr>
              <w:ind w:left="441"/>
              <w:rPr>
                <w:sz w:val="18"/>
                <w:szCs w:val="18"/>
              </w:rPr>
            </w:pPr>
            <w:r>
              <w:rPr>
                <w:sz w:val="18"/>
                <w:szCs w:val="18"/>
              </w:rPr>
              <w:t>Overseas</w:t>
            </w:r>
          </w:p>
        </w:tc>
        <w:tc>
          <w:tcPr>
            <w:tcW w:w="1364" w:type="dxa"/>
            <w:tcBorders>
              <w:top w:val="nil"/>
              <w:left w:val="nil"/>
              <w:bottom w:val="single" w:color="339966" w:sz="12" w:space="0"/>
              <w:right w:val="single" w:color="339966" w:sz="6" w:space="0"/>
            </w:tcBorders>
            <w:vAlign w:val="center"/>
          </w:tcPr>
          <w:p>
            <w:pPr>
              <w:ind w:left="441"/>
              <w:jc w:val="right"/>
              <w:rPr>
                <w:sz w:val="18"/>
                <w:szCs w:val="18"/>
              </w:rPr>
            </w:pPr>
            <w:r>
              <w:rPr>
                <w:sz w:val="18"/>
                <w:szCs w:val="18"/>
              </w:rPr>
              <w:t>4,</w:t>
            </w:r>
            <w:r>
              <w:rPr>
                <w:rFonts w:hint="eastAsia"/>
                <w:sz w:val="18"/>
                <w:szCs w:val="18"/>
              </w:rPr>
              <w:t>710</w:t>
            </w:r>
          </w:p>
        </w:tc>
        <w:tc>
          <w:tcPr>
            <w:tcW w:w="1045" w:type="dxa"/>
            <w:tcBorders>
              <w:top w:val="nil"/>
              <w:left w:val="nil"/>
              <w:bottom w:val="single" w:color="339966" w:sz="12" w:space="0"/>
              <w:right w:val="single" w:color="339966" w:sz="6" w:space="0"/>
            </w:tcBorders>
            <w:vAlign w:val="center"/>
          </w:tcPr>
          <w:p>
            <w:pPr>
              <w:ind w:firstLine="540" w:firstLineChars="300"/>
              <w:jc w:val="right"/>
              <w:rPr>
                <w:sz w:val="18"/>
                <w:szCs w:val="18"/>
              </w:rPr>
            </w:pPr>
            <w:r>
              <w:rPr>
                <w:rFonts w:hint="eastAsia"/>
                <w:sz w:val="18"/>
                <w:szCs w:val="18"/>
              </w:rPr>
              <w:t>8</w:t>
            </w:r>
            <w:r>
              <w:rPr>
                <w:sz w:val="18"/>
                <w:szCs w:val="18"/>
              </w:rPr>
              <w:t>.1%</w:t>
            </w:r>
          </w:p>
        </w:tc>
        <w:tc>
          <w:tcPr>
            <w:tcW w:w="1560" w:type="dxa"/>
            <w:tcBorders>
              <w:top w:val="nil"/>
              <w:left w:val="nil"/>
              <w:bottom w:val="single" w:color="339966" w:sz="12" w:space="0"/>
              <w:right w:val="single" w:color="339966" w:sz="6" w:space="0"/>
            </w:tcBorders>
            <w:vAlign w:val="center"/>
          </w:tcPr>
          <w:p>
            <w:pPr>
              <w:ind w:left="441" w:firstLine="360" w:firstLineChars="200"/>
              <w:jc w:val="right"/>
              <w:rPr>
                <w:sz w:val="18"/>
                <w:szCs w:val="18"/>
              </w:rPr>
            </w:pPr>
            <w:r>
              <w:rPr>
                <w:rFonts w:hint="eastAsia"/>
                <w:sz w:val="18"/>
                <w:szCs w:val="18"/>
              </w:rPr>
              <w:t>216</w:t>
            </w:r>
          </w:p>
        </w:tc>
        <w:tc>
          <w:tcPr>
            <w:tcW w:w="1452" w:type="dxa"/>
            <w:tcBorders>
              <w:top w:val="nil"/>
              <w:left w:val="nil"/>
              <w:bottom w:val="single" w:color="339966" w:sz="12" w:space="0"/>
              <w:right w:val="nil"/>
            </w:tcBorders>
            <w:vAlign w:val="center"/>
          </w:tcPr>
          <w:p>
            <w:pPr>
              <w:ind w:firstLine="360" w:firstLineChars="200"/>
              <w:jc w:val="right"/>
              <w:rPr>
                <w:sz w:val="18"/>
                <w:szCs w:val="18"/>
              </w:rPr>
            </w:pPr>
            <w:r>
              <w:rPr>
                <w:rFonts w:hint="eastAsia"/>
                <w:sz w:val="18"/>
                <w:szCs w:val="18"/>
              </w:rPr>
              <w:t>232</w:t>
            </w:r>
          </w:p>
        </w:tc>
      </w:tr>
    </w:tbl>
    <w:p>
      <w:pPr>
        <w:widowControl/>
        <w:spacing w:line="440" w:lineRule="atLeast"/>
        <w:rPr>
          <w:rFonts w:eastAsia="楷体_GB2312"/>
          <w:sz w:val="24"/>
        </w:rPr>
      </w:pPr>
      <w:r>
        <w:rPr>
          <w:rFonts w:eastAsia="楷体_GB2312"/>
          <w:sz w:val="24"/>
        </w:rPr>
        <w:t xml:space="preserve">Source: People’s Bank of China. </w:t>
      </w:r>
    </w:p>
    <w:p>
      <w:pPr>
        <w:widowControl/>
        <w:spacing w:line="440" w:lineRule="atLeast"/>
        <w:rPr>
          <w:rFonts w:eastAsia="楷体_GB2312"/>
          <w:sz w:val="24"/>
        </w:rPr>
      </w:pPr>
      <w:r>
        <w:rPr>
          <w:rFonts w:eastAsia="楷体_GB2312"/>
          <w:sz w:val="24"/>
        </w:rPr>
        <w:t xml:space="preserve"> </w:t>
      </w:r>
    </w:p>
    <w:p>
      <w:pPr>
        <w:keepNext/>
        <w:jc w:val="center"/>
        <w:rPr>
          <w:b/>
          <w:sz w:val="24"/>
        </w:rPr>
      </w:pPr>
      <w:bookmarkStart w:id="19" w:name="_Toc517190858"/>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3</w:t>
      </w:r>
      <w:r>
        <w:rPr>
          <w:b/>
          <w:sz w:val="24"/>
        </w:rPr>
        <w:fldChar w:fldCharType="end"/>
      </w:r>
      <w:r>
        <w:rPr>
          <w:b/>
          <w:sz w:val="24"/>
        </w:rPr>
        <w:t xml:space="preserve">. New RMB Loans by Financial Institutions in </w:t>
      </w:r>
      <w:r>
        <w:rPr>
          <w:rFonts w:hint="eastAsia"/>
          <w:b/>
          <w:sz w:val="24"/>
        </w:rPr>
        <w:t>Q1 of 2018</w:t>
      </w:r>
      <w:bookmarkEnd w:id="19"/>
    </w:p>
    <w:p>
      <w:pPr>
        <w:jc w:val="right"/>
        <w:rPr>
          <w:rFonts w:eastAsia="仿宋_GB2312"/>
          <w:sz w:val="24"/>
        </w:rPr>
      </w:pPr>
      <w:r>
        <w:rPr>
          <w:sz w:val="24"/>
        </w:rPr>
        <w:t>RMB 100 million</w:t>
      </w:r>
    </w:p>
    <w:tbl>
      <w:tblPr>
        <w:tblStyle w:val="96"/>
        <w:tblW w:w="8306" w:type="dxa"/>
        <w:jc w:val="center"/>
        <w:tblInd w:w="0" w:type="dxa"/>
        <w:tblLayout w:type="fixed"/>
        <w:tblCellMar>
          <w:top w:w="0" w:type="dxa"/>
          <w:left w:w="0" w:type="dxa"/>
          <w:bottom w:w="0" w:type="dxa"/>
          <w:right w:w="0" w:type="dxa"/>
        </w:tblCellMar>
      </w:tblPr>
      <w:tblGrid>
        <w:gridCol w:w="3035"/>
        <w:gridCol w:w="2724"/>
        <w:gridCol w:w="2547"/>
      </w:tblGrid>
      <w:tr>
        <w:tblPrEx>
          <w:tblLayout w:type="fixed"/>
          <w:tblCellMar>
            <w:top w:w="0" w:type="dxa"/>
            <w:left w:w="0" w:type="dxa"/>
            <w:bottom w:w="0" w:type="dxa"/>
            <w:right w:w="0" w:type="dxa"/>
          </w:tblCellMar>
        </w:tblPrEx>
        <w:trPr>
          <w:cantSplit/>
          <w:trHeight w:val="546" w:hRule="atLeast"/>
          <w:jc w:val="center"/>
        </w:trPr>
        <w:tc>
          <w:tcPr>
            <w:tcW w:w="3035" w:type="dxa"/>
            <w:tcBorders>
              <w:top w:val="single" w:color="339966" w:sz="4" w:space="0"/>
              <w:left w:val="nil"/>
              <w:bottom w:val="single" w:color="339966" w:sz="12" w:space="0"/>
              <w:right w:val="nil"/>
            </w:tcBorders>
            <w:shd w:val="clear" w:color="auto" w:fill="CCFFCC"/>
            <w:vAlign w:val="center"/>
          </w:tcPr>
          <w:p>
            <w:pPr>
              <w:rPr>
                <w:sz w:val="18"/>
                <w:szCs w:val="18"/>
              </w:rPr>
            </w:pPr>
          </w:p>
        </w:tc>
        <w:tc>
          <w:tcPr>
            <w:tcW w:w="2724" w:type="dxa"/>
            <w:tcBorders>
              <w:top w:val="single" w:color="339966" w:sz="4" w:space="0"/>
              <w:left w:val="single" w:color="339966" w:sz="4" w:space="0"/>
              <w:bottom w:val="single" w:color="339966" w:sz="12" w:space="0"/>
              <w:right w:val="single" w:color="339966" w:sz="4" w:space="0"/>
            </w:tcBorders>
            <w:shd w:val="clear" w:color="auto" w:fill="CCFFCC"/>
            <w:vAlign w:val="bottom"/>
          </w:tcPr>
          <w:p>
            <w:pPr>
              <w:rPr>
                <w:sz w:val="18"/>
                <w:szCs w:val="18"/>
              </w:rPr>
            </w:pPr>
            <w:r>
              <w:rPr>
                <w:sz w:val="18"/>
                <w:szCs w:val="18"/>
              </w:rPr>
              <w:t>New loans</w:t>
            </w:r>
          </w:p>
        </w:tc>
        <w:tc>
          <w:tcPr>
            <w:tcW w:w="2547" w:type="dxa"/>
            <w:tcBorders>
              <w:top w:val="single" w:color="339966" w:sz="4" w:space="0"/>
              <w:left w:val="nil"/>
              <w:bottom w:val="single" w:color="339966" w:sz="12" w:space="0"/>
              <w:right w:val="nil"/>
            </w:tcBorders>
            <w:shd w:val="clear" w:color="auto" w:fill="CCFFCC"/>
            <w:vAlign w:val="bottom"/>
          </w:tcPr>
          <w:p>
            <w:pPr>
              <w:rPr>
                <w:sz w:val="18"/>
                <w:szCs w:val="18"/>
              </w:rPr>
            </w:pPr>
            <w:r>
              <w:rPr>
                <w:sz w:val="18"/>
                <w:szCs w:val="18"/>
              </w:rPr>
              <w:t xml:space="preserve">Year-on-year acceleration </w:t>
            </w:r>
          </w:p>
        </w:tc>
      </w:tr>
      <w:tr>
        <w:tblPrEx>
          <w:tblLayout w:type="fixed"/>
          <w:tblCellMar>
            <w:top w:w="0" w:type="dxa"/>
            <w:left w:w="0" w:type="dxa"/>
            <w:bottom w:w="0" w:type="dxa"/>
            <w:right w:w="0" w:type="dxa"/>
          </w:tblCellMar>
        </w:tblPrEx>
        <w:trPr>
          <w:trHeight w:val="1014" w:hRule="atLeast"/>
          <w:jc w:val="center"/>
        </w:trPr>
        <w:tc>
          <w:tcPr>
            <w:tcW w:w="3035" w:type="dxa"/>
            <w:tcBorders>
              <w:top w:val="single" w:color="339966" w:sz="12" w:space="0"/>
              <w:left w:val="nil"/>
              <w:bottom w:val="nil"/>
              <w:right w:val="nil"/>
            </w:tcBorders>
            <w:vAlign w:val="center"/>
          </w:tcPr>
          <w:p>
            <w:pPr>
              <w:adjustRightInd w:val="0"/>
              <w:snapToGrid w:val="0"/>
              <w:rPr>
                <w:sz w:val="18"/>
                <w:szCs w:val="18"/>
              </w:rPr>
            </w:pPr>
            <w:r>
              <w:rPr>
                <w:sz w:val="18"/>
                <w:szCs w:val="18"/>
              </w:rPr>
              <w:t xml:space="preserve">Chinese-funded large-sized </w:t>
            </w:r>
          </w:p>
          <w:p>
            <w:pPr>
              <w:adjustRightInd w:val="0"/>
              <w:snapToGrid w:val="0"/>
              <w:rPr>
                <w:sz w:val="18"/>
                <w:szCs w:val="18"/>
                <w:vertAlign w:val="superscript"/>
              </w:rPr>
            </w:pPr>
            <w:r>
              <w:rPr>
                <w:sz w:val="18"/>
                <w:szCs w:val="18"/>
              </w:rPr>
              <w:t>banks</w:t>
            </w:r>
            <w:r>
              <w:rPr>
                <w:sz w:val="18"/>
                <w:szCs w:val="18"/>
                <w:vertAlign w:val="superscript"/>
              </w:rPr>
              <w:t xml:space="preserve"> 1</w:t>
            </w:r>
          </w:p>
        </w:tc>
        <w:tc>
          <w:tcPr>
            <w:tcW w:w="2724" w:type="dxa"/>
            <w:tcBorders>
              <w:top w:val="single" w:color="339966" w:sz="12" w:space="0"/>
              <w:left w:val="single" w:color="339966" w:sz="4" w:space="0"/>
              <w:bottom w:val="nil"/>
              <w:right w:val="nil"/>
            </w:tcBorders>
            <w:vAlign w:val="center"/>
          </w:tcPr>
          <w:p>
            <w:pPr>
              <w:ind w:left="441"/>
              <w:jc w:val="right"/>
              <w:rPr>
                <w:sz w:val="18"/>
                <w:szCs w:val="18"/>
              </w:rPr>
            </w:pPr>
            <w:r>
              <w:rPr>
                <w:rFonts w:hint="eastAsia"/>
                <w:sz w:val="18"/>
                <w:szCs w:val="18"/>
              </w:rPr>
              <w:t>19,447</w:t>
            </w:r>
          </w:p>
        </w:tc>
        <w:tc>
          <w:tcPr>
            <w:tcW w:w="2547" w:type="dxa"/>
            <w:tcBorders>
              <w:top w:val="single" w:color="339966" w:sz="12" w:space="0"/>
              <w:left w:val="nil"/>
              <w:bottom w:val="nil"/>
              <w:right w:val="nil"/>
            </w:tcBorders>
            <w:vAlign w:val="center"/>
          </w:tcPr>
          <w:p>
            <w:pPr>
              <w:ind w:left="441" w:firstLine="180" w:firstLineChars="100"/>
              <w:jc w:val="right"/>
              <w:rPr>
                <w:sz w:val="18"/>
                <w:szCs w:val="18"/>
              </w:rPr>
            </w:pPr>
            <w:r>
              <w:rPr>
                <w:sz w:val="18"/>
                <w:szCs w:val="18"/>
              </w:rPr>
              <w:t>2,</w:t>
            </w:r>
            <w:r>
              <w:rPr>
                <w:rFonts w:hint="eastAsia"/>
                <w:sz w:val="18"/>
                <w:szCs w:val="18"/>
              </w:rPr>
              <w:t>872</w:t>
            </w:r>
          </w:p>
        </w:tc>
      </w:tr>
      <w:tr>
        <w:tblPrEx>
          <w:tblLayout w:type="fixed"/>
          <w:tblCellMar>
            <w:top w:w="0" w:type="dxa"/>
            <w:left w:w="0" w:type="dxa"/>
            <w:bottom w:w="0" w:type="dxa"/>
            <w:right w:w="0" w:type="dxa"/>
          </w:tblCellMar>
        </w:tblPrEx>
        <w:trPr>
          <w:trHeight w:val="958" w:hRule="atLeast"/>
          <w:jc w:val="center"/>
        </w:trPr>
        <w:tc>
          <w:tcPr>
            <w:tcW w:w="3035" w:type="dxa"/>
            <w:shd w:val="clear" w:color="auto" w:fill="CCFFCC"/>
            <w:vAlign w:val="center"/>
          </w:tcPr>
          <w:p>
            <w:pPr>
              <w:adjustRightInd w:val="0"/>
              <w:snapToGrid w:val="0"/>
              <w:rPr>
                <w:sz w:val="18"/>
                <w:szCs w:val="18"/>
              </w:rPr>
            </w:pPr>
            <w:r>
              <w:rPr>
                <w:sz w:val="18"/>
                <w:szCs w:val="18"/>
              </w:rPr>
              <w:t>Chinese-funded small- and</w:t>
            </w:r>
          </w:p>
          <w:p>
            <w:pPr>
              <w:adjustRightInd w:val="0"/>
              <w:snapToGrid w:val="0"/>
              <w:rPr>
                <w:sz w:val="18"/>
                <w:szCs w:val="18"/>
                <w:vertAlign w:val="superscript"/>
              </w:rPr>
            </w:pPr>
            <w:r>
              <w:rPr>
                <w:sz w:val="18"/>
                <w:szCs w:val="18"/>
              </w:rPr>
              <w:t>medium-sized banks</w:t>
            </w:r>
            <w:r>
              <w:rPr>
                <w:sz w:val="18"/>
                <w:szCs w:val="18"/>
                <w:vertAlign w:val="superscript"/>
              </w:rPr>
              <w:t>2</w:t>
            </w:r>
          </w:p>
        </w:tc>
        <w:tc>
          <w:tcPr>
            <w:tcW w:w="2724" w:type="dxa"/>
            <w:tcBorders>
              <w:top w:val="nil"/>
              <w:left w:val="single" w:color="339966" w:sz="4" w:space="0"/>
              <w:bottom w:val="nil"/>
              <w:right w:val="nil"/>
            </w:tcBorders>
            <w:shd w:val="clear" w:color="auto" w:fill="CCFFCC"/>
            <w:vAlign w:val="center"/>
          </w:tcPr>
          <w:p>
            <w:pPr>
              <w:ind w:left="441"/>
              <w:jc w:val="right"/>
              <w:rPr>
                <w:sz w:val="18"/>
                <w:szCs w:val="18"/>
              </w:rPr>
            </w:pPr>
            <w:r>
              <w:rPr>
                <w:rFonts w:hint="eastAsia"/>
                <w:sz w:val="18"/>
                <w:szCs w:val="18"/>
              </w:rPr>
              <w:t>26,808</w:t>
            </w:r>
          </w:p>
        </w:tc>
        <w:tc>
          <w:tcPr>
            <w:tcW w:w="2547" w:type="dxa"/>
            <w:shd w:val="clear" w:color="auto" w:fill="CCFFCC"/>
            <w:vAlign w:val="center"/>
          </w:tcPr>
          <w:p>
            <w:pPr>
              <w:ind w:left="441" w:firstLine="360" w:firstLineChars="200"/>
              <w:jc w:val="right"/>
              <w:rPr>
                <w:sz w:val="18"/>
                <w:szCs w:val="18"/>
              </w:rPr>
            </w:pPr>
            <w:r>
              <w:rPr>
                <w:rFonts w:hint="eastAsia"/>
                <w:sz w:val="18"/>
                <w:szCs w:val="18"/>
              </w:rPr>
              <w:t>3,727</w:t>
            </w:r>
          </w:p>
        </w:tc>
      </w:tr>
      <w:tr>
        <w:tblPrEx>
          <w:tblLayout w:type="fixed"/>
          <w:tblCellMar>
            <w:top w:w="0" w:type="dxa"/>
            <w:left w:w="0" w:type="dxa"/>
            <w:bottom w:w="0" w:type="dxa"/>
            <w:right w:w="0" w:type="dxa"/>
          </w:tblCellMar>
        </w:tblPrEx>
        <w:trPr>
          <w:trHeight w:val="858" w:hRule="atLeast"/>
          <w:jc w:val="center"/>
        </w:trPr>
        <w:tc>
          <w:tcPr>
            <w:tcW w:w="3035" w:type="dxa"/>
            <w:vAlign w:val="center"/>
          </w:tcPr>
          <w:p>
            <w:pPr>
              <w:adjustRightInd w:val="0"/>
              <w:snapToGrid w:val="0"/>
              <w:rPr>
                <w:sz w:val="18"/>
                <w:szCs w:val="18"/>
              </w:rPr>
            </w:pPr>
            <w:r>
              <w:rPr>
                <w:sz w:val="18"/>
                <w:szCs w:val="18"/>
              </w:rPr>
              <w:t xml:space="preserve">Small-sized rural financial </w:t>
            </w:r>
          </w:p>
          <w:p>
            <w:pPr>
              <w:adjustRightInd w:val="0"/>
              <w:snapToGrid w:val="0"/>
              <w:rPr>
                <w:sz w:val="18"/>
                <w:szCs w:val="18"/>
              </w:rPr>
            </w:pPr>
            <w:r>
              <w:rPr>
                <w:sz w:val="18"/>
                <w:szCs w:val="18"/>
              </w:rPr>
              <w:t>institutions</w:t>
            </w:r>
            <w:r>
              <w:rPr>
                <w:sz w:val="18"/>
                <w:szCs w:val="18"/>
                <w:vertAlign w:val="superscript"/>
              </w:rPr>
              <w:t>3</w:t>
            </w:r>
          </w:p>
        </w:tc>
        <w:tc>
          <w:tcPr>
            <w:tcW w:w="2724" w:type="dxa"/>
            <w:tcBorders>
              <w:top w:val="nil"/>
              <w:left w:val="single" w:color="339966" w:sz="4" w:space="0"/>
              <w:bottom w:val="nil"/>
              <w:right w:val="nil"/>
            </w:tcBorders>
            <w:vAlign w:val="center"/>
          </w:tcPr>
          <w:p>
            <w:pPr>
              <w:ind w:left="441"/>
              <w:jc w:val="right"/>
              <w:rPr>
                <w:sz w:val="18"/>
                <w:szCs w:val="18"/>
              </w:rPr>
            </w:pPr>
            <w:r>
              <w:rPr>
                <w:rFonts w:hint="eastAsia"/>
                <w:sz w:val="18"/>
                <w:szCs w:val="18"/>
              </w:rPr>
              <w:t>6,696</w:t>
            </w:r>
          </w:p>
        </w:tc>
        <w:tc>
          <w:tcPr>
            <w:tcW w:w="2547" w:type="dxa"/>
            <w:vAlign w:val="center"/>
          </w:tcPr>
          <w:p>
            <w:pPr>
              <w:ind w:left="441" w:firstLine="180" w:firstLineChars="100"/>
              <w:jc w:val="right"/>
              <w:rPr>
                <w:sz w:val="18"/>
                <w:szCs w:val="18"/>
              </w:rPr>
            </w:pPr>
            <w:r>
              <w:rPr>
                <w:rFonts w:hint="eastAsia"/>
                <w:sz w:val="18"/>
                <w:szCs w:val="18"/>
              </w:rPr>
              <w:t>324</w:t>
            </w:r>
          </w:p>
        </w:tc>
      </w:tr>
      <w:tr>
        <w:tblPrEx>
          <w:tblLayout w:type="fixed"/>
          <w:tblCellMar>
            <w:top w:w="0" w:type="dxa"/>
            <w:left w:w="0" w:type="dxa"/>
            <w:bottom w:w="0" w:type="dxa"/>
            <w:right w:w="0" w:type="dxa"/>
          </w:tblCellMar>
        </w:tblPrEx>
        <w:trPr>
          <w:trHeight w:val="631" w:hRule="atLeast"/>
          <w:jc w:val="center"/>
        </w:trPr>
        <w:tc>
          <w:tcPr>
            <w:tcW w:w="3035" w:type="dxa"/>
            <w:tcBorders>
              <w:top w:val="nil"/>
              <w:left w:val="nil"/>
              <w:bottom w:val="single" w:color="339966" w:sz="12" w:space="0"/>
              <w:right w:val="nil"/>
            </w:tcBorders>
            <w:shd w:val="clear" w:color="auto" w:fill="CCFFCC"/>
            <w:vAlign w:val="center"/>
          </w:tcPr>
          <w:p>
            <w:pPr>
              <w:adjustRightInd w:val="0"/>
              <w:snapToGrid w:val="0"/>
              <w:rPr>
                <w:sz w:val="18"/>
                <w:szCs w:val="18"/>
              </w:rPr>
            </w:pPr>
            <w:r>
              <w:rPr>
                <w:sz w:val="18"/>
                <w:szCs w:val="18"/>
              </w:rPr>
              <w:t xml:space="preserve">Foreign-funded </w:t>
            </w:r>
          </w:p>
          <w:p>
            <w:pPr>
              <w:adjustRightInd w:val="0"/>
              <w:snapToGrid w:val="0"/>
              <w:rPr>
                <w:sz w:val="18"/>
                <w:szCs w:val="18"/>
              </w:rPr>
            </w:pPr>
            <w:r>
              <w:rPr>
                <w:sz w:val="18"/>
                <w:szCs w:val="18"/>
              </w:rPr>
              <w:t xml:space="preserve">financial institutions </w:t>
            </w:r>
          </w:p>
        </w:tc>
        <w:tc>
          <w:tcPr>
            <w:tcW w:w="2724" w:type="dxa"/>
            <w:tcBorders>
              <w:top w:val="nil"/>
              <w:left w:val="single" w:color="339966" w:sz="4" w:space="0"/>
              <w:bottom w:val="single" w:color="339966" w:sz="12" w:space="0"/>
              <w:right w:val="nil"/>
            </w:tcBorders>
            <w:shd w:val="clear" w:color="auto" w:fill="CCFFCC"/>
            <w:vAlign w:val="center"/>
          </w:tcPr>
          <w:p>
            <w:pPr>
              <w:ind w:firstLine="540" w:firstLineChars="300"/>
              <w:jc w:val="right"/>
              <w:rPr>
                <w:sz w:val="18"/>
                <w:szCs w:val="18"/>
              </w:rPr>
            </w:pPr>
            <w:r>
              <w:rPr>
                <w:rFonts w:hint="eastAsia"/>
                <w:sz w:val="18"/>
                <w:szCs w:val="18"/>
              </w:rPr>
              <w:t>726</w:t>
            </w:r>
          </w:p>
        </w:tc>
        <w:tc>
          <w:tcPr>
            <w:tcW w:w="2547" w:type="dxa"/>
            <w:tcBorders>
              <w:top w:val="nil"/>
              <w:left w:val="nil"/>
              <w:bottom w:val="single" w:color="339966" w:sz="12" w:space="0"/>
              <w:right w:val="nil"/>
            </w:tcBorders>
            <w:shd w:val="clear" w:color="auto" w:fill="CCFFCC"/>
            <w:vAlign w:val="center"/>
          </w:tcPr>
          <w:p>
            <w:pPr>
              <w:ind w:left="441"/>
              <w:jc w:val="right"/>
              <w:rPr>
                <w:sz w:val="18"/>
                <w:szCs w:val="18"/>
              </w:rPr>
            </w:pPr>
            <w:r>
              <w:rPr>
                <w:sz w:val="18"/>
                <w:szCs w:val="18"/>
              </w:rPr>
              <w:t xml:space="preserve">  </w:t>
            </w:r>
            <w:r>
              <w:rPr>
                <w:rFonts w:hint="eastAsia"/>
                <w:sz w:val="18"/>
                <w:szCs w:val="18"/>
              </w:rPr>
              <w:t>173</w:t>
            </w:r>
          </w:p>
        </w:tc>
      </w:tr>
    </w:tbl>
    <w:p>
      <w:pPr>
        <w:widowControl/>
        <w:autoSpaceDE w:val="0"/>
        <w:autoSpaceDN w:val="0"/>
        <w:adjustRightInd w:val="0"/>
        <w:rPr>
          <w:rFonts w:eastAsia="楷体_GB2312"/>
          <w:kern w:val="0"/>
        </w:rPr>
      </w:pPr>
      <w:r>
        <w:rPr>
          <w:rFonts w:eastAsia="楷体_GB2312"/>
          <w:kern w:val="0"/>
        </w:rPr>
        <w:t xml:space="preserve">Notes: 1. Chinese-funded large-sized banks refer to banks with assets (both in domestic and foreign currencies) of RMB 2 trillion or more (according to the amount of total assets in both domestic and foreign currencies at end-2008). </w:t>
      </w:r>
    </w:p>
    <w:p>
      <w:pPr>
        <w:widowControl/>
        <w:autoSpaceDE w:val="0"/>
        <w:autoSpaceDN w:val="0"/>
        <w:adjustRightInd w:val="0"/>
        <w:rPr>
          <w:rFonts w:eastAsia="楷体_GB2312"/>
          <w:kern w:val="0"/>
        </w:rPr>
      </w:pPr>
      <w:r>
        <w:rPr>
          <w:rFonts w:eastAsia="楷体_GB2312"/>
          <w:kern w:val="0"/>
        </w:rPr>
        <w:t xml:space="preserve">2. Chinese-funded small- and medium-sized banks refer to banks with total assets (both in domestic and foreign currencies) of less than RMB 2 trillion (according to the amount of total assets in both domestic and foreign currencies at end-2008). </w:t>
      </w:r>
    </w:p>
    <w:p>
      <w:pPr>
        <w:widowControl/>
        <w:autoSpaceDE w:val="0"/>
        <w:autoSpaceDN w:val="0"/>
        <w:adjustRightInd w:val="0"/>
        <w:rPr>
          <w:rFonts w:eastAsia="楷体_GB2312"/>
          <w:kern w:val="0"/>
        </w:rPr>
      </w:pPr>
      <w:r>
        <w:rPr>
          <w:rFonts w:eastAsia="楷体_GB2312"/>
          <w:kern w:val="0"/>
        </w:rPr>
        <w:t xml:space="preserve">3. Small-sized rural financial institutions include rural commercial banks, rural cooperative banks, and rural credit cooperatives. </w:t>
      </w:r>
    </w:p>
    <w:p>
      <w:pPr>
        <w:widowControl/>
        <w:rPr>
          <w:rFonts w:eastAsia="楷体_GB2312"/>
          <w:sz w:val="24"/>
        </w:rPr>
      </w:pPr>
      <w:r>
        <w:rPr>
          <w:rFonts w:eastAsia="楷体_GB2312"/>
          <w:sz w:val="24"/>
        </w:rPr>
        <w:t>Source: People’s Bank of China.</w:t>
      </w:r>
    </w:p>
    <w:p/>
    <w:p>
      <w:pPr>
        <w:widowControl/>
        <w:spacing w:line="360" w:lineRule="atLeast"/>
        <w:rPr>
          <w:sz w:val="24"/>
          <w:szCs w:val="20"/>
        </w:rPr>
      </w:pPr>
      <w:r>
        <w:rPr>
          <w:b/>
          <w:bCs/>
          <w:sz w:val="24"/>
          <w:szCs w:val="20"/>
        </w:rPr>
        <w:t>G</w:t>
      </w:r>
      <w:r>
        <w:rPr>
          <w:rFonts w:hint="eastAsia"/>
          <w:b/>
          <w:bCs/>
          <w:sz w:val="24"/>
          <w:szCs w:val="20"/>
        </w:rPr>
        <w:t>rowth of l</w:t>
      </w:r>
      <w:r>
        <w:rPr>
          <w:b/>
          <w:bCs/>
          <w:sz w:val="24"/>
          <w:szCs w:val="20"/>
        </w:rPr>
        <w:t xml:space="preserve">oans in foreign currencies </w:t>
      </w:r>
      <w:r>
        <w:rPr>
          <w:rFonts w:hint="eastAsia"/>
          <w:b/>
          <w:bCs/>
          <w:sz w:val="24"/>
          <w:szCs w:val="20"/>
        </w:rPr>
        <w:t>slowed down</w:t>
      </w:r>
      <w:r>
        <w:rPr>
          <w:b/>
          <w:bCs/>
          <w:sz w:val="24"/>
          <w:szCs w:val="20"/>
        </w:rPr>
        <w:t>.</w:t>
      </w:r>
      <w:r>
        <w:rPr>
          <w:sz w:val="24"/>
          <w:szCs w:val="20"/>
        </w:rPr>
        <w:t xml:space="preserve"> </w:t>
      </w:r>
      <w:r>
        <w:rPr>
          <w:rFonts w:eastAsia="仿宋_GB2312"/>
          <w:sz w:val="24"/>
        </w:rPr>
        <w:t>At end-</w:t>
      </w:r>
      <w:r>
        <w:rPr>
          <w:rFonts w:hint="eastAsia" w:eastAsia="仿宋_GB2312"/>
          <w:sz w:val="24"/>
        </w:rPr>
        <w:t>March</w:t>
      </w:r>
      <w:r>
        <w:rPr>
          <w:rFonts w:eastAsia="仿宋_GB2312"/>
          <w:sz w:val="24"/>
        </w:rPr>
        <w:t>, outstanding foreign-currency loans of all financial institutions stood at USD 8</w:t>
      </w:r>
      <w:r>
        <w:rPr>
          <w:rFonts w:hint="eastAsia" w:eastAsia="仿宋_GB2312"/>
          <w:sz w:val="24"/>
        </w:rPr>
        <w:t>70.4</w:t>
      </w:r>
      <w:r>
        <w:rPr>
          <w:rFonts w:eastAsia="仿宋_GB2312"/>
          <w:sz w:val="24"/>
        </w:rPr>
        <w:t xml:space="preserve"> billion,</w:t>
      </w:r>
      <w:r>
        <w:rPr>
          <w:rFonts w:hint="eastAsia" w:eastAsia="仿宋_GB2312"/>
          <w:sz w:val="24"/>
        </w:rPr>
        <w:t xml:space="preserve"> up 4.0 percent year on year and </w:t>
      </w:r>
      <w:r>
        <w:rPr>
          <w:rFonts w:eastAsia="仿宋_GB2312"/>
          <w:sz w:val="24"/>
        </w:rPr>
        <w:t xml:space="preserve">decelerating by </w:t>
      </w:r>
      <w:r>
        <w:rPr>
          <w:rFonts w:hint="eastAsia" w:eastAsia="仿宋_GB2312"/>
          <w:sz w:val="24"/>
        </w:rPr>
        <w:t xml:space="preserve">2.6 percentage points </w:t>
      </w:r>
      <w:r>
        <w:rPr>
          <w:rFonts w:eastAsia="仿宋_GB2312"/>
          <w:sz w:val="24"/>
        </w:rPr>
        <w:t>since</w:t>
      </w:r>
      <w:r>
        <w:rPr>
          <w:rFonts w:hint="eastAsia" w:eastAsia="仿宋_GB2312"/>
          <w:sz w:val="24"/>
        </w:rPr>
        <w:t xml:space="preserve"> end-2017.</w:t>
      </w:r>
      <w:r>
        <w:rPr>
          <w:rFonts w:eastAsia="仿宋_GB2312"/>
          <w:sz w:val="24"/>
        </w:rPr>
        <w:t xml:space="preserve"> </w:t>
      </w:r>
      <w:r>
        <w:rPr>
          <w:rFonts w:hint="eastAsia" w:eastAsia="仿宋_GB2312"/>
          <w:sz w:val="24"/>
        </w:rPr>
        <w:t xml:space="preserve">This </w:t>
      </w:r>
      <w:r>
        <w:rPr>
          <w:rFonts w:eastAsia="仿宋_GB2312"/>
          <w:sz w:val="24"/>
        </w:rPr>
        <w:t>represent</w:t>
      </w:r>
      <w:r>
        <w:rPr>
          <w:rFonts w:hint="eastAsia" w:eastAsia="仿宋_GB2312"/>
          <w:sz w:val="24"/>
        </w:rPr>
        <w:t>ed</w:t>
      </w:r>
      <w:r>
        <w:rPr>
          <w:rFonts w:eastAsia="仿宋_GB2312"/>
          <w:sz w:val="24"/>
        </w:rPr>
        <w:t xml:space="preserve"> an increase of USD</w:t>
      </w:r>
      <w:r>
        <w:rPr>
          <w:rFonts w:hint="eastAsia" w:eastAsia="仿宋_GB2312"/>
          <w:sz w:val="24"/>
        </w:rPr>
        <w:t xml:space="preserve"> 32.4</w:t>
      </w:r>
      <w:r>
        <w:rPr>
          <w:rFonts w:eastAsia="仿宋_GB2312"/>
          <w:sz w:val="24"/>
        </w:rPr>
        <w:t xml:space="preserve"> billion from the beginning of the year and a </w:t>
      </w:r>
      <w:r>
        <w:rPr>
          <w:rFonts w:hint="eastAsia" w:eastAsia="仿宋_GB2312"/>
          <w:sz w:val="24"/>
        </w:rPr>
        <w:t>de</w:t>
      </w:r>
      <w:r>
        <w:rPr>
          <w:rFonts w:eastAsia="仿宋_GB2312"/>
          <w:sz w:val="24"/>
        </w:rPr>
        <w:t xml:space="preserve">celeration of USD </w:t>
      </w:r>
      <w:r>
        <w:rPr>
          <w:rFonts w:hint="eastAsia" w:eastAsia="仿宋_GB2312"/>
          <w:sz w:val="24"/>
        </w:rPr>
        <w:t>18.6</w:t>
      </w:r>
      <w:r>
        <w:rPr>
          <w:rFonts w:eastAsia="仿宋_GB2312"/>
          <w:sz w:val="24"/>
        </w:rPr>
        <w:t xml:space="preserve"> billion year on year. In terms of loan use, short-term loans to non-financial enterprises and government departments and organizations increased by USD </w:t>
      </w:r>
      <w:r>
        <w:rPr>
          <w:rFonts w:hint="eastAsia" w:eastAsia="仿宋_GB2312"/>
          <w:sz w:val="24"/>
        </w:rPr>
        <w:t>7.7 b</w:t>
      </w:r>
      <w:r>
        <w:rPr>
          <w:rFonts w:eastAsia="仿宋_GB2312"/>
          <w:sz w:val="24"/>
        </w:rPr>
        <w:t xml:space="preserve">illion from the beginning of the year, a </w:t>
      </w:r>
      <w:r>
        <w:rPr>
          <w:rFonts w:hint="eastAsia" w:eastAsia="仿宋_GB2312"/>
          <w:sz w:val="24"/>
        </w:rPr>
        <w:t>deceleration</w:t>
      </w:r>
      <w:r>
        <w:rPr>
          <w:rFonts w:eastAsia="仿宋_GB2312"/>
          <w:sz w:val="24"/>
        </w:rPr>
        <w:t xml:space="preserve"> of USD </w:t>
      </w:r>
      <w:r>
        <w:rPr>
          <w:rFonts w:hint="eastAsia" w:eastAsia="仿宋_GB2312"/>
          <w:sz w:val="24"/>
        </w:rPr>
        <w:t>3.9</w:t>
      </w:r>
      <w:r>
        <w:rPr>
          <w:rFonts w:eastAsia="仿宋_GB2312"/>
          <w:sz w:val="24"/>
        </w:rPr>
        <w:t xml:space="preserve"> billion year on year; external loans increased by USD </w:t>
      </w:r>
      <w:r>
        <w:rPr>
          <w:rFonts w:hint="eastAsia" w:eastAsia="仿宋_GB2312"/>
          <w:sz w:val="24"/>
        </w:rPr>
        <w:t>25.1</w:t>
      </w:r>
      <w:r>
        <w:rPr>
          <w:rFonts w:eastAsia="仿宋_GB2312"/>
          <w:sz w:val="24"/>
        </w:rPr>
        <w:t xml:space="preserve"> billion from the beginning of the year, a </w:t>
      </w:r>
      <w:r>
        <w:rPr>
          <w:rFonts w:hint="eastAsia" w:eastAsia="仿宋_GB2312"/>
          <w:sz w:val="24"/>
        </w:rPr>
        <w:t>de</w:t>
      </w:r>
      <w:r>
        <w:rPr>
          <w:rFonts w:eastAsia="仿宋_GB2312"/>
          <w:sz w:val="24"/>
        </w:rPr>
        <w:t xml:space="preserve">celeration of USD </w:t>
      </w:r>
      <w:r>
        <w:rPr>
          <w:rFonts w:hint="eastAsia" w:eastAsia="仿宋_GB2312"/>
          <w:sz w:val="24"/>
        </w:rPr>
        <w:t>14.6</w:t>
      </w:r>
      <w:r>
        <w:rPr>
          <w:rFonts w:eastAsia="仿宋_GB2312"/>
          <w:sz w:val="24"/>
        </w:rPr>
        <w:t xml:space="preserve"> billion year on year.</w:t>
      </w:r>
    </w:p>
    <w:p/>
    <w:p>
      <w:pPr>
        <w:pStyle w:val="160"/>
      </w:pPr>
    </w:p>
    <w:p>
      <w:pPr>
        <w:keepNext/>
        <w:keepLines/>
        <w:widowControl/>
        <w:adjustRightInd w:val="0"/>
        <w:spacing w:before="20" w:after="20"/>
        <w:outlineLvl w:val="1"/>
        <w:rPr>
          <w:rFonts w:eastAsia="仿宋_GB2312"/>
          <w:b/>
          <w:szCs w:val="22"/>
        </w:rPr>
      </w:pPr>
      <w:bookmarkStart w:id="20" w:name="_Toc517190501"/>
      <w:r>
        <w:rPr>
          <w:rFonts w:eastAsia="黑体"/>
          <w:b/>
          <w:sz w:val="24"/>
        </w:rPr>
        <w:t xml:space="preserve">IV. All-system Financing Aggregates Grew at a </w:t>
      </w:r>
      <w:r>
        <w:rPr>
          <w:rFonts w:hint="eastAsia" w:eastAsia="黑体"/>
          <w:b/>
          <w:sz w:val="24"/>
        </w:rPr>
        <w:t>Reasonable</w:t>
      </w:r>
      <w:r>
        <w:rPr>
          <w:rFonts w:eastAsia="黑体"/>
          <w:b/>
          <w:sz w:val="24"/>
        </w:rPr>
        <w:t xml:space="preserve"> Pace</w:t>
      </w:r>
      <w:bookmarkEnd w:id="20"/>
    </w:p>
    <w:p>
      <w:pPr>
        <w:pStyle w:val="119"/>
        <w:spacing w:line="440" w:lineRule="exact"/>
        <w:ind w:firstLine="0" w:firstLineChars="0"/>
        <w:rPr>
          <w:rFonts w:ascii="仿宋_GB2312" w:eastAsiaTheme="minorEastAsia" w:cstheme="minorBidi"/>
          <w:color w:val="FF0000"/>
          <w:sz w:val="28"/>
          <w:szCs w:val="28"/>
        </w:rPr>
      </w:pPr>
      <w:r>
        <w:rPr>
          <w:rFonts w:ascii="Times New Roman" w:hAnsi="Times New Roman" w:eastAsia="仿宋_GB2312" w:cs="Times"/>
          <w:b/>
          <w:szCs w:val="22"/>
        </w:rPr>
        <w:t xml:space="preserve">All-system financing aggregates grew at a reasonable pace, and </w:t>
      </w:r>
      <w:r>
        <w:rPr>
          <w:rFonts w:hint="eastAsia" w:ascii="Times New Roman" w:hAnsi="Times New Roman" w:eastAsia="仿宋_GB2312"/>
          <w:b/>
          <w:szCs w:val="22"/>
        </w:rPr>
        <w:t xml:space="preserve">some </w:t>
      </w:r>
      <w:r>
        <w:rPr>
          <w:rFonts w:ascii="Times New Roman" w:hAnsi="Times New Roman" w:eastAsia="仿宋_GB2312" w:cs="Times"/>
          <w:b/>
          <w:szCs w:val="22"/>
        </w:rPr>
        <w:t>off-balance-</w:t>
      </w:r>
      <w:r>
        <w:rPr>
          <w:rFonts w:hint="eastAsia" w:ascii="Times New Roman" w:hAnsi="Times New Roman" w:eastAsia="仿宋_GB2312"/>
          <w:b/>
          <w:szCs w:val="22"/>
        </w:rPr>
        <w:t xml:space="preserve">sheet </w:t>
      </w:r>
      <w:r>
        <w:rPr>
          <w:rFonts w:ascii="Times New Roman" w:hAnsi="Times New Roman" w:eastAsia="仿宋_GB2312" w:cs="Times"/>
          <w:b/>
          <w:szCs w:val="22"/>
        </w:rPr>
        <w:t xml:space="preserve">financing returned to the balance </w:t>
      </w:r>
      <w:r>
        <w:rPr>
          <w:rFonts w:hint="eastAsia" w:ascii="Times New Roman" w:hAnsi="Times New Roman" w:eastAsia="仿宋_GB2312"/>
          <w:b/>
          <w:szCs w:val="22"/>
        </w:rPr>
        <w:t>sheet due to</w:t>
      </w:r>
      <w:r>
        <w:rPr>
          <w:rFonts w:ascii="Times New Roman" w:hAnsi="Times New Roman" w:eastAsia="仿宋_GB2312" w:cs="Times"/>
          <w:b/>
          <w:szCs w:val="22"/>
        </w:rPr>
        <w:t xml:space="preserve"> stricter </w:t>
      </w:r>
      <w:r>
        <w:rPr>
          <w:rFonts w:hint="eastAsia" w:ascii="Times New Roman" w:hAnsi="Times New Roman" w:eastAsia="仿宋_GB2312"/>
          <w:b/>
          <w:szCs w:val="22"/>
        </w:rPr>
        <w:t>regulation</w:t>
      </w:r>
      <w:r>
        <w:rPr>
          <w:rFonts w:ascii="Times New Roman" w:hAnsi="Times New Roman" w:eastAsia="仿宋_GB2312"/>
          <w:b/>
          <w:szCs w:val="22"/>
        </w:rPr>
        <w:t>s</w:t>
      </w:r>
      <w:r>
        <w:rPr>
          <w:rFonts w:ascii="Times New Roman" w:hAnsi="Times New Roman" w:eastAsia="仿宋_GB2312" w:cs="Times"/>
          <w:b/>
          <w:szCs w:val="22"/>
        </w:rPr>
        <w:t>.</w:t>
      </w:r>
      <w:r>
        <w:rPr>
          <w:rFonts w:hint="eastAsia" w:ascii="Times New Roman" w:hAnsi="Times New Roman" w:eastAsia="仿宋_GB2312"/>
          <w:szCs w:val="22"/>
        </w:rPr>
        <w:t xml:space="preserve"> </w:t>
      </w:r>
      <w:r>
        <w:rPr>
          <w:rFonts w:ascii="Times New Roman" w:hAnsi="Times New Roman" w:eastAsia="仿宋_GB2312"/>
          <w:szCs w:val="22"/>
        </w:rPr>
        <w:t>According to preliminary statistics, outstanding all-system financing aggregates reached RMB 17</w:t>
      </w:r>
      <w:r>
        <w:rPr>
          <w:rFonts w:hint="eastAsia" w:ascii="Times New Roman" w:hAnsi="Times New Roman" w:eastAsia="仿宋_GB2312"/>
          <w:szCs w:val="22"/>
        </w:rPr>
        <w:t>9</w:t>
      </w:r>
      <w:r>
        <w:rPr>
          <w:rFonts w:ascii="Times New Roman" w:hAnsi="Times New Roman" w:eastAsia="仿宋_GB2312"/>
          <w:szCs w:val="22"/>
        </w:rPr>
        <w:t>.</w:t>
      </w:r>
      <w:r>
        <w:rPr>
          <w:rFonts w:hint="eastAsia" w:ascii="Times New Roman" w:hAnsi="Times New Roman" w:eastAsia="仿宋_GB2312"/>
          <w:szCs w:val="22"/>
        </w:rPr>
        <w:t>93</w:t>
      </w:r>
      <w:r>
        <w:rPr>
          <w:rFonts w:ascii="Times New Roman" w:hAnsi="Times New Roman" w:eastAsia="仿宋_GB2312"/>
          <w:szCs w:val="22"/>
        </w:rPr>
        <w:t xml:space="preserve"> trillion at end-</w:t>
      </w:r>
      <w:r>
        <w:rPr>
          <w:rFonts w:hint="eastAsia" w:ascii="Times New Roman" w:hAnsi="Times New Roman" w:eastAsia="仿宋_GB2312"/>
          <w:szCs w:val="22"/>
        </w:rPr>
        <w:t>March</w:t>
      </w:r>
      <w:r>
        <w:rPr>
          <w:rFonts w:ascii="Times New Roman" w:hAnsi="Times New Roman" w:eastAsia="仿宋_GB2312"/>
          <w:szCs w:val="22"/>
        </w:rPr>
        <w:t>, up 1</w:t>
      </w:r>
      <w:r>
        <w:rPr>
          <w:rFonts w:hint="eastAsia" w:ascii="Times New Roman" w:hAnsi="Times New Roman" w:eastAsia="仿宋_GB2312"/>
          <w:szCs w:val="22"/>
        </w:rPr>
        <w:t>0.5</w:t>
      </w:r>
      <w:r>
        <w:rPr>
          <w:rFonts w:ascii="Times New Roman" w:hAnsi="Times New Roman" w:eastAsia="仿宋_GB2312"/>
          <w:szCs w:val="22"/>
        </w:rPr>
        <w:t xml:space="preserve"> percent year on year</w:t>
      </w:r>
      <w:r>
        <w:rPr>
          <w:rFonts w:hint="eastAsia" w:ascii="Times New Roman" w:hAnsi="Times New Roman" w:eastAsia="仿宋_GB2312"/>
          <w:szCs w:val="22"/>
        </w:rPr>
        <w:t xml:space="preserve"> and exceeding nominal GDP growth</w:t>
      </w:r>
      <w:r>
        <w:t xml:space="preserve">. </w:t>
      </w:r>
      <w:r>
        <w:rPr>
          <w:rFonts w:hint="eastAsia"/>
        </w:rPr>
        <w:t>In</w:t>
      </w:r>
      <w:r>
        <w:t xml:space="preserve"> </w:t>
      </w:r>
      <w:r>
        <w:rPr>
          <w:rFonts w:hint="eastAsia"/>
        </w:rPr>
        <w:t>Q1</w:t>
      </w:r>
      <w:r>
        <w:t xml:space="preserve">, incremental all-system financing aggregates reached RMB </w:t>
      </w:r>
      <w:r>
        <w:rPr>
          <w:rFonts w:hint="eastAsia"/>
        </w:rPr>
        <w:t>5.58</w:t>
      </w:r>
      <w:r>
        <w:t xml:space="preserve"> trillion, </w:t>
      </w:r>
      <w:r>
        <w:rPr>
          <w:rFonts w:hint="eastAsia"/>
        </w:rPr>
        <w:t>down</w:t>
      </w:r>
      <w:r>
        <w:t xml:space="preserve"> RMB </w:t>
      </w:r>
      <w:r>
        <w:rPr>
          <w:rFonts w:hint="eastAsia"/>
        </w:rPr>
        <w:t>1.33</w:t>
      </w:r>
      <w:r>
        <w:t xml:space="preserve"> trillion year on year.</w:t>
      </w:r>
      <w:r>
        <w:rPr>
          <w:rFonts w:hint="eastAsia"/>
        </w:rPr>
        <w:t xml:space="preserve"> </w:t>
      </w:r>
      <w:r>
        <w:t>Incremental all-system financing aggregates were characterized by the following:</w:t>
      </w:r>
      <w:r>
        <w:rPr>
          <w:rFonts w:hint="eastAsia"/>
        </w:rPr>
        <w:t xml:space="preserve"> </w:t>
      </w:r>
      <w:r>
        <w:t xml:space="preserve">First, growth of RMB loans to the real economy registered a year-on-year acceleration. </w:t>
      </w:r>
      <w:r>
        <w:rPr>
          <w:rFonts w:hint="eastAsia"/>
        </w:rPr>
        <w:t>In Q1</w:t>
      </w:r>
      <w:r>
        <w:t xml:space="preserve">, RMB loans </w:t>
      </w:r>
      <w:r>
        <w:rPr>
          <w:rFonts w:hint="eastAsia"/>
        </w:rPr>
        <w:t xml:space="preserve">by financial institutions </w:t>
      </w:r>
      <w:r>
        <w:t xml:space="preserve">to the real economy increased by RMB </w:t>
      </w:r>
      <w:r>
        <w:rPr>
          <w:rFonts w:hint="eastAsia"/>
        </w:rPr>
        <w:t>4.85</w:t>
      </w:r>
      <w:r>
        <w:t xml:space="preserve"> trillion, an acceleration of RMB </w:t>
      </w:r>
      <w:r>
        <w:rPr>
          <w:rFonts w:hint="eastAsia"/>
        </w:rPr>
        <w:t>343.8 billion</w:t>
      </w:r>
      <w:r>
        <w:t xml:space="preserve"> compared to</w:t>
      </w:r>
      <w:r>
        <w:rPr>
          <w:rFonts w:hint="eastAsia"/>
        </w:rPr>
        <w:t xml:space="preserve"> the same period of the last year</w:t>
      </w:r>
      <w:r>
        <w:t xml:space="preserve"> and accounting for </w:t>
      </w:r>
      <w:r>
        <w:rPr>
          <w:rFonts w:hint="eastAsia"/>
        </w:rPr>
        <w:t>86.9</w:t>
      </w:r>
      <w:r>
        <w:t xml:space="preserve"> percent of the incremental all-system financing aggregates. Second, growth of trust loans and undiscounted bankers’ acceptance bills registered a</w:t>
      </w:r>
      <w:r>
        <w:rPr>
          <w:rFonts w:hint="eastAsia"/>
        </w:rPr>
        <w:t xml:space="preserve"> </w:t>
      </w:r>
      <w:r>
        <w:t xml:space="preserve">year-on-year </w:t>
      </w:r>
      <w:r>
        <w:rPr>
          <w:rFonts w:hint="eastAsia"/>
        </w:rPr>
        <w:t>de</w:t>
      </w:r>
      <w:r>
        <w:t xml:space="preserve">celeration, whereas growth of entrusted loans registered a considerable year-on-year </w:t>
      </w:r>
      <w:r>
        <w:rPr>
          <w:rFonts w:hint="eastAsia"/>
        </w:rPr>
        <w:t>ac</w:t>
      </w:r>
      <w:r>
        <w:t xml:space="preserve">celeration. </w:t>
      </w:r>
      <w:r>
        <w:rPr>
          <w:rFonts w:hint="eastAsia"/>
        </w:rPr>
        <w:t>In Q1</w:t>
      </w:r>
      <w:r>
        <w:t xml:space="preserve">, trust loans increased </w:t>
      </w:r>
      <w:r>
        <w:rPr>
          <w:rFonts w:hint="eastAsia"/>
        </w:rPr>
        <w:t xml:space="preserve">by </w:t>
      </w:r>
      <w:r>
        <w:t xml:space="preserve">RMB </w:t>
      </w:r>
      <w:r>
        <w:rPr>
          <w:rFonts w:hint="eastAsia"/>
        </w:rPr>
        <w:t>75.8 billion</w:t>
      </w:r>
      <w:r>
        <w:t xml:space="preserve">, representing a </w:t>
      </w:r>
      <w:r>
        <w:rPr>
          <w:rFonts w:hint="eastAsia"/>
        </w:rPr>
        <w:t>de</w:t>
      </w:r>
      <w:r>
        <w:t xml:space="preserve">celeration of RMB </w:t>
      </w:r>
      <w:r>
        <w:rPr>
          <w:rFonts w:hint="eastAsia"/>
        </w:rPr>
        <w:t>659.1</w:t>
      </w:r>
      <w:r>
        <w:t xml:space="preserve"> </w:t>
      </w:r>
      <w:r>
        <w:rPr>
          <w:rFonts w:hint="eastAsia"/>
        </w:rPr>
        <w:t>billion</w:t>
      </w:r>
      <w:r>
        <w:t xml:space="preserve"> </w:t>
      </w:r>
      <w:r>
        <w:rPr>
          <w:rFonts w:hint="eastAsia"/>
        </w:rPr>
        <w:t>year on year</w:t>
      </w:r>
      <w:r>
        <w:t xml:space="preserve">; undiscounted bankers’ acceptance bills increased by RMB </w:t>
      </w:r>
      <w:r>
        <w:rPr>
          <w:rFonts w:hint="eastAsia"/>
        </w:rPr>
        <w:t>122.1</w:t>
      </w:r>
      <w:r>
        <w:t xml:space="preserve"> billion, representing a </w:t>
      </w:r>
      <w:r>
        <w:rPr>
          <w:rFonts w:hint="eastAsia"/>
        </w:rPr>
        <w:t>de</w:t>
      </w:r>
      <w:r>
        <w:t xml:space="preserve">celeration of RMB </w:t>
      </w:r>
      <w:r>
        <w:rPr>
          <w:rFonts w:hint="eastAsia"/>
        </w:rPr>
        <w:t>558.1</w:t>
      </w:r>
      <w:r>
        <w:t xml:space="preserve"> </w:t>
      </w:r>
      <w:r>
        <w:rPr>
          <w:rFonts w:hint="eastAsia"/>
        </w:rPr>
        <w:t>b</w:t>
      </w:r>
      <w:r>
        <w:t xml:space="preserve">illion; and entrusted loans </w:t>
      </w:r>
      <w:r>
        <w:rPr>
          <w:rFonts w:hint="eastAsia"/>
        </w:rPr>
        <w:t>decreased</w:t>
      </w:r>
      <w:r>
        <w:t xml:space="preserve"> by RMB </w:t>
      </w:r>
      <w:r>
        <w:rPr>
          <w:rFonts w:hint="eastAsia"/>
        </w:rPr>
        <w:t xml:space="preserve">331.4 </w:t>
      </w:r>
      <w:r>
        <w:t xml:space="preserve">billion, representing a </w:t>
      </w:r>
      <w:r>
        <w:rPr>
          <w:rFonts w:hint="eastAsia"/>
        </w:rPr>
        <w:t>deceleration</w:t>
      </w:r>
      <w:r>
        <w:t xml:space="preserve"> of RMB </w:t>
      </w:r>
      <w:r>
        <w:rPr>
          <w:rFonts w:hint="eastAsia"/>
        </w:rPr>
        <w:t>966.1</w:t>
      </w:r>
      <w:r>
        <w:t xml:space="preserve"> </w:t>
      </w:r>
      <w:r>
        <w:rPr>
          <w:rFonts w:hint="eastAsia"/>
        </w:rPr>
        <w:t>billion</w:t>
      </w:r>
      <w:r>
        <w:t xml:space="preserve">. Third, corporate </w:t>
      </w:r>
      <w:r>
        <w:rPr>
          <w:rFonts w:hint="eastAsia"/>
        </w:rPr>
        <w:t>debt</w:t>
      </w:r>
      <w:r>
        <w:t xml:space="preserve"> financing</w:t>
      </w:r>
      <w:r>
        <w:rPr>
          <w:rFonts w:hint="eastAsia"/>
        </w:rPr>
        <w:t xml:space="preserve"> </w:t>
      </w:r>
      <w:r>
        <w:t xml:space="preserve">registered a year-on-year </w:t>
      </w:r>
      <w:r>
        <w:rPr>
          <w:rFonts w:hint="eastAsia"/>
        </w:rPr>
        <w:t>acceleration</w:t>
      </w:r>
      <w:r>
        <w:t xml:space="preserve"> and </w:t>
      </w:r>
      <w:r>
        <w:rPr>
          <w:rFonts w:hint="eastAsia"/>
        </w:rPr>
        <w:t xml:space="preserve">equity </w:t>
      </w:r>
      <w:r>
        <w:t>financing</w:t>
      </w:r>
      <w:r>
        <w:rPr>
          <w:rFonts w:hint="eastAsia"/>
        </w:rPr>
        <w:t xml:space="preserve"> </w:t>
      </w:r>
      <w:r>
        <w:t xml:space="preserve">registered </w:t>
      </w:r>
      <w:r>
        <w:rPr>
          <w:rFonts w:hint="eastAsia"/>
        </w:rPr>
        <w:t>a year-on-year deceleration</w:t>
      </w:r>
      <w:r>
        <w:t xml:space="preserve">. </w:t>
      </w:r>
      <w:r>
        <w:rPr>
          <w:rFonts w:hint="eastAsia"/>
        </w:rPr>
        <w:t>In Q1</w:t>
      </w:r>
      <w:r>
        <w:t xml:space="preserve">, corporate debt financing registered RMB </w:t>
      </w:r>
      <w:r>
        <w:rPr>
          <w:rFonts w:hint="eastAsia"/>
        </w:rPr>
        <w:t>537.1</w:t>
      </w:r>
      <w:r>
        <w:t xml:space="preserve"> billion, a year-on-year </w:t>
      </w:r>
      <w:r>
        <w:rPr>
          <w:rFonts w:hint="eastAsia"/>
        </w:rPr>
        <w:t>increase</w:t>
      </w:r>
      <w:r>
        <w:t xml:space="preserve"> of RMB 2.</w:t>
      </w:r>
      <w:r>
        <w:rPr>
          <w:rFonts w:hint="eastAsia"/>
        </w:rPr>
        <w:t>55</w:t>
      </w:r>
      <w:r>
        <w:t xml:space="preserve"> trillion, and </w:t>
      </w:r>
      <w:r>
        <w:rPr>
          <w:rFonts w:hint="eastAsia"/>
        </w:rPr>
        <w:t xml:space="preserve">equity </w:t>
      </w:r>
      <w:r>
        <w:t xml:space="preserve">financing </w:t>
      </w:r>
      <w:r>
        <w:rPr>
          <w:rFonts w:hint="eastAsia"/>
        </w:rPr>
        <w:t xml:space="preserve">by non-financial enterprises </w:t>
      </w:r>
      <w:r>
        <w:t xml:space="preserve">recorded RMB </w:t>
      </w:r>
      <w:r>
        <w:rPr>
          <w:rFonts w:hint="eastAsia"/>
        </w:rPr>
        <w:t>128.3</w:t>
      </w:r>
      <w:r>
        <w:t xml:space="preserve"> billion, a year-on-year decrease of RMB </w:t>
      </w:r>
      <w:r>
        <w:rPr>
          <w:rFonts w:hint="eastAsia"/>
        </w:rPr>
        <w:t>131.3</w:t>
      </w:r>
      <w:r>
        <w:t xml:space="preserve"> billion.</w:t>
      </w:r>
    </w:p>
    <w:p>
      <w:pPr>
        <w:keepNext/>
        <w:rPr>
          <w:b/>
          <w:sz w:val="24"/>
        </w:rPr>
      </w:pPr>
      <w:bookmarkStart w:id="21" w:name="_Toc477878108"/>
      <w:bookmarkStart w:id="22" w:name="_Toc502051157"/>
      <w:bookmarkStart w:id="23" w:name="_Toc492909026"/>
      <w:bookmarkStart w:id="24" w:name="_Toc517190859"/>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4</w:t>
      </w:r>
      <w:r>
        <w:rPr>
          <w:b/>
          <w:sz w:val="24"/>
        </w:rPr>
        <w:fldChar w:fldCharType="end"/>
      </w:r>
      <w:r>
        <w:rPr>
          <w:b/>
          <w:sz w:val="24"/>
        </w:rPr>
        <w:t xml:space="preserve">. Stocks of All-System Financing Aggregates at </w:t>
      </w:r>
      <w:bookmarkEnd w:id="21"/>
      <w:r>
        <w:rPr>
          <w:b/>
          <w:sz w:val="24"/>
        </w:rPr>
        <w:t>end-</w:t>
      </w:r>
      <w:r>
        <w:rPr>
          <w:rFonts w:hint="eastAsia"/>
          <w:b/>
          <w:sz w:val="24"/>
        </w:rPr>
        <w:t xml:space="preserve">March </w:t>
      </w:r>
      <w:r>
        <w:rPr>
          <w:b/>
          <w:sz w:val="24"/>
        </w:rPr>
        <w:t>201</w:t>
      </w:r>
      <w:bookmarkEnd w:id="22"/>
      <w:bookmarkEnd w:id="23"/>
      <w:r>
        <w:rPr>
          <w:rFonts w:hint="eastAsia"/>
          <w:b/>
          <w:sz w:val="24"/>
        </w:rPr>
        <w:t>8</w:t>
      </w:r>
      <w:bookmarkEnd w:id="24"/>
    </w:p>
    <w:p>
      <w:pPr>
        <w:jc w:val="right"/>
        <w:rPr>
          <w:rFonts w:eastAsia="仿宋_GB2312"/>
          <w:sz w:val="18"/>
          <w:szCs w:val="18"/>
        </w:rPr>
      </w:pPr>
      <w:bookmarkStart w:id="25" w:name="_Toc464812275"/>
      <w:r>
        <w:rPr>
          <w:sz w:val="18"/>
          <w:szCs w:val="18"/>
        </w:rPr>
        <w:t>Unit: RMB trillion, %</w:t>
      </w:r>
    </w:p>
    <w:bookmarkEnd w:id="25"/>
    <w:tbl>
      <w:tblPr>
        <w:tblStyle w:val="96"/>
        <w:tblW w:w="8442" w:type="dxa"/>
        <w:jc w:val="center"/>
        <w:tblInd w:w="0" w:type="dxa"/>
        <w:tblLayout w:type="fixed"/>
        <w:tblCellMar>
          <w:top w:w="0" w:type="dxa"/>
          <w:left w:w="0" w:type="dxa"/>
          <w:bottom w:w="0" w:type="dxa"/>
          <w:right w:w="0" w:type="dxa"/>
        </w:tblCellMar>
      </w:tblPr>
      <w:tblGrid>
        <w:gridCol w:w="1134"/>
        <w:gridCol w:w="993"/>
        <w:gridCol w:w="918"/>
        <w:gridCol w:w="992"/>
        <w:gridCol w:w="709"/>
        <w:gridCol w:w="499"/>
        <w:gridCol w:w="1276"/>
        <w:gridCol w:w="918"/>
        <w:gridCol w:w="1003"/>
      </w:tblGrid>
      <w:tr>
        <w:tblPrEx>
          <w:tblLayout w:type="fixed"/>
          <w:tblCellMar>
            <w:top w:w="0" w:type="dxa"/>
            <w:left w:w="0" w:type="dxa"/>
            <w:bottom w:w="0" w:type="dxa"/>
            <w:right w:w="0" w:type="dxa"/>
          </w:tblCellMar>
        </w:tblPrEx>
        <w:trPr>
          <w:cantSplit/>
          <w:trHeight w:val="285" w:hRule="atLeast"/>
          <w:jc w:val="center"/>
        </w:trPr>
        <w:tc>
          <w:tcPr>
            <w:tcW w:w="1134" w:type="dxa"/>
            <w:vMerge w:val="restart"/>
            <w:tcBorders>
              <w:top w:val="single" w:color="008000" w:sz="6" w:space="0"/>
              <w:left w:val="nil"/>
              <w:right w:val="single" w:color="008000" w:sz="4" w:space="0"/>
            </w:tcBorders>
            <w:shd w:val="clear" w:color="auto" w:fill="CCFFCC"/>
            <w:tcMar>
              <w:top w:w="20" w:type="dxa"/>
              <w:left w:w="20" w:type="dxa"/>
              <w:bottom w:w="0" w:type="dxa"/>
              <w:right w:w="20" w:type="dxa"/>
            </w:tcMar>
            <w:vAlign w:val="center"/>
          </w:tcPr>
          <w:p>
            <w:pPr>
              <w:widowControl/>
              <w:rPr>
                <w:sz w:val="18"/>
                <w:szCs w:val="18"/>
              </w:rPr>
            </w:pPr>
          </w:p>
        </w:tc>
        <w:tc>
          <w:tcPr>
            <w:tcW w:w="993" w:type="dxa"/>
            <w:vMerge w:val="restart"/>
            <w:tcBorders>
              <w:top w:val="single" w:color="008000" w:sz="6" w:space="0"/>
              <w:left w:val="single" w:color="008000" w:sz="4"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All-system financing aggregates</w:t>
            </w:r>
            <w:r>
              <w:rPr>
                <w:sz w:val="18"/>
                <w:szCs w:val="18"/>
                <w:vertAlign w:val="superscript"/>
              </w:rPr>
              <w:fldChar w:fldCharType="begin"/>
            </w:r>
            <w:r>
              <w:rPr>
                <w:sz w:val="18"/>
                <w:szCs w:val="18"/>
                <w:vertAlign w:val="superscript"/>
              </w:rPr>
              <w:instrText xml:space="preserve"> = 1 \* GB3 </w:instrText>
            </w:r>
            <w:r>
              <w:rPr>
                <w:sz w:val="18"/>
                <w:szCs w:val="18"/>
                <w:vertAlign w:val="superscript"/>
              </w:rPr>
              <w:fldChar w:fldCharType="separate"/>
            </w:r>
            <w:r>
              <w:rPr>
                <w:rFonts w:hAnsi="Cambria Math"/>
                <w:sz w:val="18"/>
                <w:szCs w:val="18"/>
                <w:vertAlign w:val="superscript"/>
              </w:rPr>
              <w:t>①</w:t>
            </w:r>
            <w:r>
              <w:rPr>
                <w:sz w:val="18"/>
                <w:szCs w:val="18"/>
                <w:vertAlign w:val="superscript"/>
              </w:rPr>
              <w:fldChar w:fldCharType="end"/>
            </w:r>
          </w:p>
        </w:tc>
        <w:tc>
          <w:tcPr>
            <w:tcW w:w="6315" w:type="dxa"/>
            <w:gridSpan w:val="7"/>
            <w:tcBorders>
              <w:top w:val="single" w:color="008000" w:sz="6" w:space="0"/>
              <w:left w:val="single" w:color="008000" w:sz="4" w:space="0"/>
              <w:bottom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Of which:</w:t>
            </w:r>
          </w:p>
        </w:tc>
      </w:tr>
      <w:tr>
        <w:tblPrEx>
          <w:tblLayout w:type="fixed"/>
          <w:tblCellMar>
            <w:top w:w="0" w:type="dxa"/>
            <w:left w:w="0" w:type="dxa"/>
            <w:bottom w:w="0" w:type="dxa"/>
            <w:right w:w="0" w:type="dxa"/>
          </w:tblCellMar>
        </w:tblPrEx>
        <w:trPr>
          <w:cantSplit/>
          <w:trHeight w:val="720" w:hRule="atLeast"/>
          <w:jc w:val="center"/>
        </w:trPr>
        <w:tc>
          <w:tcPr>
            <w:tcW w:w="1134" w:type="dxa"/>
            <w:vMerge w:val="continue"/>
            <w:tcBorders>
              <w:left w:val="nil"/>
              <w:bottom w:val="single" w:color="008000" w:sz="6" w:space="0"/>
              <w:right w:val="single" w:color="008000" w:sz="4" w:space="0"/>
            </w:tcBorders>
            <w:shd w:val="clear" w:color="auto" w:fill="CCFFCC"/>
            <w:vAlign w:val="center"/>
          </w:tcPr>
          <w:p>
            <w:pPr>
              <w:rPr>
                <w:b/>
                <w:bCs/>
                <w:sz w:val="18"/>
                <w:szCs w:val="18"/>
              </w:rPr>
            </w:pPr>
          </w:p>
        </w:tc>
        <w:tc>
          <w:tcPr>
            <w:tcW w:w="993" w:type="dxa"/>
            <w:vMerge w:val="continue"/>
            <w:tcBorders>
              <w:left w:val="single" w:color="008000" w:sz="4" w:space="0"/>
              <w:bottom w:val="single" w:color="008000" w:sz="6" w:space="0"/>
              <w:right w:val="single" w:color="008000" w:sz="4" w:space="0"/>
            </w:tcBorders>
            <w:shd w:val="clear" w:color="auto" w:fill="CCFFCC"/>
            <w:vAlign w:val="center"/>
          </w:tcPr>
          <w:p>
            <w:pPr>
              <w:rPr>
                <w:b/>
                <w:bCs/>
                <w:sz w:val="18"/>
                <w:szCs w:val="18"/>
              </w:rPr>
            </w:pPr>
          </w:p>
        </w:tc>
        <w:tc>
          <w:tcPr>
            <w:tcW w:w="918"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RMB loans </w:t>
            </w:r>
          </w:p>
        </w:tc>
        <w:tc>
          <w:tcPr>
            <w:tcW w:w="992"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Foreign- currency denominated (RMB equivalent)</w:t>
            </w:r>
          </w:p>
        </w:tc>
        <w:tc>
          <w:tcPr>
            <w:tcW w:w="709"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Entrusted loans</w:t>
            </w:r>
          </w:p>
        </w:tc>
        <w:tc>
          <w:tcPr>
            <w:tcW w:w="499"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Trust loans </w:t>
            </w:r>
          </w:p>
        </w:tc>
        <w:tc>
          <w:tcPr>
            <w:tcW w:w="1276"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Undiscounted bankers’ acceptances </w:t>
            </w:r>
          </w:p>
        </w:tc>
        <w:tc>
          <w:tcPr>
            <w:tcW w:w="918"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Enterprise bonds</w:t>
            </w:r>
          </w:p>
        </w:tc>
        <w:tc>
          <w:tcPr>
            <w:tcW w:w="1003" w:type="dxa"/>
            <w:tcBorders>
              <w:top w:val="single" w:color="008000" w:sz="4" w:space="0"/>
              <w:left w:val="single" w:color="008000" w:sz="4" w:space="0"/>
              <w:bottom w:val="single" w:color="008000" w:sz="6" w:space="0"/>
              <w:right w:val="nil"/>
            </w:tcBorders>
            <w:shd w:val="clear" w:color="auto" w:fill="CCFFCC"/>
            <w:tcMar>
              <w:top w:w="20" w:type="dxa"/>
              <w:left w:w="20" w:type="dxa"/>
              <w:bottom w:w="0" w:type="dxa"/>
              <w:right w:w="20" w:type="dxa"/>
            </w:tcMar>
            <w:vAlign w:val="center"/>
          </w:tcPr>
          <w:p>
            <w:pPr>
              <w:rPr>
                <w:sz w:val="18"/>
                <w:szCs w:val="18"/>
              </w:rPr>
            </w:pPr>
            <w:r>
              <w:rPr>
                <w:sz w:val="18"/>
                <w:szCs w:val="18"/>
              </w:rPr>
              <w:t>Financing by domestic institutions via the domestic stock markets</w:t>
            </w:r>
          </w:p>
        </w:tc>
      </w:tr>
      <w:tr>
        <w:tblPrEx>
          <w:tblLayout w:type="fixed"/>
          <w:tblCellMar>
            <w:top w:w="0" w:type="dxa"/>
            <w:left w:w="0" w:type="dxa"/>
            <w:bottom w:w="0" w:type="dxa"/>
            <w:right w:w="0" w:type="dxa"/>
          </w:tblCellMar>
        </w:tblPrEx>
        <w:trPr>
          <w:trHeight w:val="375" w:hRule="atLeast"/>
          <w:jc w:val="center"/>
        </w:trPr>
        <w:tc>
          <w:tcPr>
            <w:tcW w:w="1134" w:type="dxa"/>
            <w:tcBorders>
              <w:top w:val="single" w:color="C0C0C0" w:sz="4" w:space="0"/>
              <w:left w:val="nil"/>
              <w:bottom w:val="single" w:color="C0C0C0" w:sz="4" w:space="0"/>
              <w:right w:val="single" w:color="008000" w:sz="4" w:space="0"/>
            </w:tcBorders>
            <w:shd w:val="clear" w:color="auto" w:fill="FFFFFF"/>
            <w:tcMar>
              <w:top w:w="20" w:type="dxa"/>
              <w:left w:w="20" w:type="dxa"/>
              <w:bottom w:w="0" w:type="dxa"/>
              <w:right w:w="20" w:type="dxa"/>
            </w:tcMar>
            <w:vAlign w:val="center"/>
          </w:tcPr>
          <w:p>
            <w:pPr>
              <w:rPr>
                <w:sz w:val="18"/>
                <w:szCs w:val="18"/>
              </w:rPr>
            </w:pPr>
            <w:r>
              <w:rPr>
                <w:rFonts w:hint="eastAsia"/>
                <w:sz w:val="18"/>
                <w:szCs w:val="18"/>
              </w:rPr>
              <w:t>End-March 2018</w:t>
            </w:r>
            <w:r>
              <w:rPr>
                <w:sz w:val="18"/>
                <w:szCs w:val="18"/>
                <w:vertAlign w:val="superscript"/>
              </w:rPr>
              <w:fldChar w:fldCharType="begin"/>
            </w:r>
            <w:r>
              <w:rPr>
                <w:sz w:val="18"/>
                <w:szCs w:val="18"/>
                <w:vertAlign w:val="superscript"/>
              </w:rPr>
              <w:instrText xml:space="preserve"> = 2 \* GB3 </w:instrText>
            </w:r>
            <w:r>
              <w:rPr>
                <w:sz w:val="18"/>
                <w:szCs w:val="18"/>
                <w:vertAlign w:val="superscript"/>
              </w:rPr>
              <w:fldChar w:fldCharType="separate"/>
            </w:r>
            <w:r>
              <w:rPr>
                <w:rFonts w:hAnsi="Cambria Math"/>
                <w:sz w:val="18"/>
                <w:szCs w:val="18"/>
                <w:vertAlign w:val="superscript"/>
              </w:rPr>
              <w:t>②</w:t>
            </w:r>
            <w:r>
              <w:rPr>
                <w:sz w:val="18"/>
                <w:szCs w:val="18"/>
                <w:vertAlign w:val="superscript"/>
              </w:rPr>
              <w:fldChar w:fldCharType="end"/>
            </w:r>
          </w:p>
        </w:tc>
        <w:tc>
          <w:tcPr>
            <w:tcW w:w="993"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179.93</w:t>
            </w:r>
          </w:p>
        </w:tc>
        <w:tc>
          <w:tcPr>
            <w:tcW w:w="918"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123.86</w:t>
            </w:r>
          </w:p>
        </w:tc>
        <w:tc>
          <w:tcPr>
            <w:tcW w:w="992"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2.46</w:t>
            </w:r>
          </w:p>
        </w:tc>
        <w:tc>
          <w:tcPr>
            <w:tcW w:w="709"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13.63</w:t>
            </w:r>
          </w:p>
        </w:tc>
        <w:tc>
          <w:tcPr>
            <w:tcW w:w="499"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8.62</w:t>
            </w:r>
          </w:p>
        </w:tc>
        <w:tc>
          <w:tcPr>
            <w:tcW w:w="1276"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4.56</w:t>
            </w:r>
          </w:p>
        </w:tc>
        <w:tc>
          <w:tcPr>
            <w:tcW w:w="918"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18.86</w:t>
            </w:r>
          </w:p>
        </w:tc>
        <w:tc>
          <w:tcPr>
            <w:tcW w:w="1003" w:type="dxa"/>
            <w:tcBorders>
              <w:top w:val="single" w:color="C0C0C0" w:sz="4" w:space="0"/>
              <w:left w:val="single" w:color="008000" w:sz="4" w:space="0"/>
              <w:bottom w:val="single" w:color="C0C0C0" w:sz="4" w:space="0"/>
              <w:right w:val="nil"/>
            </w:tcBorders>
            <w:shd w:val="clear" w:color="auto" w:fill="FFFFFF"/>
            <w:tcMar>
              <w:top w:w="20" w:type="dxa"/>
              <w:left w:w="20" w:type="dxa"/>
              <w:bottom w:w="0" w:type="dxa"/>
              <w:right w:w="20" w:type="dxa"/>
            </w:tcMar>
          </w:tcPr>
          <w:p>
            <w:r>
              <w:t>6.78</w:t>
            </w:r>
          </w:p>
        </w:tc>
      </w:tr>
      <w:tr>
        <w:tblPrEx>
          <w:tblLayout w:type="fixed"/>
          <w:tblCellMar>
            <w:top w:w="0" w:type="dxa"/>
            <w:left w:w="0" w:type="dxa"/>
            <w:bottom w:w="0" w:type="dxa"/>
            <w:right w:w="0" w:type="dxa"/>
          </w:tblCellMar>
        </w:tblPrEx>
        <w:trPr>
          <w:trHeight w:val="375" w:hRule="atLeast"/>
          <w:jc w:val="center"/>
        </w:trPr>
        <w:tc>
          <w:tcPr>
            <w:tcW w:w="1134" w:type="dxa"/>
            <w:tcBorders>
              <w:top w:val="single" w:color="C0C0C0" w:sz="4" w:space="0"/>
              <w:left w:val="nil"/>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Year-on-</w:t>
            </w:r>
          </w:p>
          <w:p>
            <w:pPr>
              <w:rPr>
                <w:sz w:val="18"/>
                <w:szCs w:val="18"/>
              </w:rPr>
            </w:pPr>
            <w:r>
              <w:rPr>
                <w:sz w:val="18"/>
                <w:szCs w:val="18"/>
              </w:rPr>
              <w:t>year change</w:t>
            </w:r>
          </w:p>
        </w:tc>
        <w:tc>
          <w:tcPr>
            <w:tcW w:w="993"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10.5</w:t>
            </w:r>
          </w:p>
        </w:tc>
        <w:tc>
          <w:tcPr>
            <w:tcW w:w="918"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12.9</w:t>
            </w:r>
          </w:p>
        </w:tc>
        <w:tc>
          <w:tcPr>
            <w:tcW w:w="992"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8.6</w:t>
            </w:r>
          </w:p>
        </w:tc>
        <w:tc>
          <w:tcPr>
            <w:tcW w:w="709"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1.4</w:t>
            </w:r>
          </w:p>
        </w:tc>
        <w:tc>
          <w:tcPr>
            <w:tcW w:w="499"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22.9</w:t>
            </w:r>
          </w:p>
        </w:tc>
        <w:tc>
          <w:tcPr>
            <w:tcW w:w="1276"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0.4</w:t>
            </w:r>
          </w:p>
        </w:tc>
        <w:tc>
          <w:tcPr>
            <w:tcW w:w="918"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5.7</w:t>
            </w:r>
          </w:p>
        </w:tc>
        <w:tc>
          <w:tcPr>
            <w:tcW w:w="1003" w:type="dxa"/>
            <w:tcBorders>
              <w:top w:val="single" w:color="C0C0C0" w:sz="4" w:space="0"/>
              <w:left w:val="single" w:color="008000" w:sz="4" w:space="0"/>
              <w:bottom w:val="single" w:color="008000" w:sz="6" w:space="0"/>
              <w:right w:val="nil"/>
            </w:tcBorders>
            <w:shd w:val="clear" w:color="auto" w:fill="CCFFCC"/>
            <w:tcMar>
              <w:top w:w="20" w:type="dxa"/>
              <w:left w:w="20" w:type="dxa"/>
              <w:bottom w:w="0" w:type="dxa"/>
              <w:right w:w="20" w:type="dxa"/>
            </w:tcMar>
          </w:tcPr>
          <w:p>
            <w:r>
              <w:t>12.3</w:t>
            </w:r>
          </w:p>
        </w:tc>
      </w:tr>
    </w:tbl>
    <w:p>
      <w:pPr>
        <w:autoSpaceDE w:val="0"/>
        <w:autoSpaceDN w:val="0"/>
        <w:adjustRightInd w:val="0"/>
        <w:rPr>
          <w:rFonts w:eastAsia="楷体_GB2312"/>
          <w:kern w:val="0"/>
          <w:sz w:val="15"/>
          <w:szCs w:val="15"/>
        </w:rPr>
      </w:pPr>
      <w:r>
        <w:rPr>
          <w:rFonts w:eastAsia="楷体_GB2312"/>
          <w:kern w:val="0"/>
          <w:sz w:val="15"/>
          <w:szCs w:val="15"/>
        </w:rPr>
        <w:t xml:space="preserve">Notes: 1.) Stocks of all-system financing aggregates refer to the total outstanding volume of financing provided by the financial system to the real economy </w:t>
      </w:r>
      <w:r>
        <w:rPr>
          <w:kern w:val="0"/>
          <w:sz w:val="15"/>
          <w:szCs w:val="15"/>
        </w:rPr>
        <w:t xml:space="preserve">(the non-financial corporate sectors and the household sectors in the domestic market) </w:t>
      </w:r>
      <w:r>
        <w:rPr>
          <w:rFonts w:eastAsia="楷体_GB2312"/>
          <w:kern w:val="0"/>
          <w:sz w:val="15"/>
          <w:szCs w:val="15"/>
        </w:rPr>
        <w:t xml:space="preserve">at the end of a certain period of time. 2.) Data for the current period are preliminary. Stocks are based on the book value or the face value. The year-on-year change is annualized and based on comparable data. </w:t>
      </w:r>
    </w:p>
    <w:p>
      <w:pPr>
        <w:autoSpaceDE w:val="0"/>
        <w:autoSpaceDN w:val="0"/>
        <w:adjustRightInd w:val="0"/>
        <w:rPr>
          <w:rFonts w:eastAsia="楷体_GB2312"/>
          <w:kern w:val="0"/>
          <w:sz w:val="15"/>
          <w:szCs w:val="15"/>
        </w:rPr>
      </w:pPr>
      <w:r>
        <w:rPr>
          <w:rFonts w:eastAsia="楷体_GB2312"/>
          <w:kern w:val="0"/>
          <w:sz w:val="15"/>
          <w:szCs w:val="15"/>
        </w:rPr>
        <w:t>Sources: People’s Bank of China, National Development and Reform Commission, China Securities Regulatory Commission, China Insurance Regulatory Commission, China Central Depository and Clearing Co., Ltd., and National Association of Financial Market Institutional Investors.</w:t>
      </w:r>
    </w:p>
    <w:p>
      <w:pPr>
        <w:widowControl/>
        <w:jc w:val="left"/>
        <w:rPr>
          <w:rFonts w:ascii="仿宋_GB2312" w:eastAsia="仿宋_GB2312" w:cstheme="minorBidi"/>
          <w:color w:val="FF0000"/>
          <w:sz w:val="28"/>
          <w:szCs w:val="28"/>
        </w:rPr>
      </w:pPr>
    </w:p>
    <w:p>
      <w:pPr>
        <w:keepNext/>
        <w:jc w:val="center"/>
        <w:rPr>
          <w:b/>
          <w:sz w:val="24"/>
        </w:rPr>
      </w:pPr>
      <w:bookmarkStart w:id="26" w:name="_Toc492909027"/>
      <w:bookmarkStart w:id="27" w:name="_Toc502051158"/>
      <w:bookmarkStart w:id="28" w:name="_Toc477878109"/>
      <w:bookmarkStart w:id="29" w:name="_Toc517190860"/>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5</w:t>
      </w:r>
      <w:r>
        <w:rPr>
          <w:b/>
          <w:sz w:val="24"/>
        </w:rPr>
        <w:fldChar w:fldCharType="end"/>
      </w:r>
      <w:r>
        <w:rPr>
          <w:b/>
          <w:sz w:val="24"/>
        </w:rPr>
        <w:t xml:space="preserve">. Increments of All-system Financing Aggregates </w:t>
      </w:r>
      <w:r>
        <w:rPr>
          <w:rFonts w:hint="eastAsia"/>
          <w:b/>
          <w:sz w:val="24"/>
        </w:rPr>
        <w:t>in Q1</w:t>
      </w:r>
      <w:r>
        <w:rPr>
          <w:b/>
          <w:sz w:val="24"/>
        </w:rPr>
        <w:t xml:space="preserve"> 201</w:t>
      </w:r>
      <w:bookmarkEnd w:id="26"/>
      <w:bookmarkEnd w:id="27"/>
      <w:bookmarkEnd w:id="28"/>
      <w:r>
        <w:rPr>
          <w:rFonts w:hint="eastAsia"/>
          <w:b/>
          <w:sz w:val="24"/>
        </w:rPr>
        <w:t>8</w:t>
      </w:r>
      <w:bookmarkEnd w:id="29"/>
    </w:p>
    <w:p>
      <w:pPr>
        <w:jc w:val="right"/>
        <w:rPr>
          <w:rFonts w:eastAsia="仿宋_GB2312"/>
          <w:sz w:val="18"/>
          <w:szCs w:val="18"/>
        </w:rPr>
      </w:pPr>
      <w:r>
        <w:rPr>
          <w:sz w:val="18"/>
          <w:szCs w:val="18"/>
        </w:rPr>
        <w:t>Unit: RMB 100 million</w:t>
      </w:r>
    </w:p>
    <w:tbl>
      <w:tblPr>
        <w:tblStyle w:val="96"/>
        <w:tblW w:w="8442" w:type="dxa"/>
        <w:jc w:val="center"/>
        <w:tblInd w:w="0" w:type="dxa"/>
        <w:tblLayout w:type="fixed"/>
        <w:tblCellMar>
          <w:top w:w="0" w:type="dxa"/>
          <w:left w:w="0" w:type="dxa"/>
          <w:bottom w:w="0" w:type="dxa"/>
          <w:right w:w="0" w:type="dxa"/>
        </w:tblCellMar>
      </w:tblPr>
      <w:tblGrid>
        <w:gridCol w:w="1061"/>
        <w:gridCol w:w="1275"/>
        <w:gridCol w:w="709"/>
        <w:gridCol w:w="992"/>
        <w:gridCol w:w="851"/>
        <w:gridCol w:w="567"/>
        <w:gridCol w:w="1134"/>
        <w:gridCol w:w="925"/>
        <w:gridCol w:w="928"/>
      </w:tblGrid>
      <w:tr>
        <w:tblPrEx>
          <w:tblLayout w:type="fixed"/>
          <w:tblCellMar>
            <w:top w:w="0" w:type="dxa"/>
            <w:left w:w="0" w:type="dxa"/>
            <w:bottom w:w="0" w:type="dxa"/>
            <w:right w:w="0" w:type="dxa"/>
          </w:tblCellMar>
        </w:tblPrEx>
        <w:trPr>
          <w:cantSplit/>
          <w:trHeight w:val="285" w:hRule="atLeast"/>
          <w:jc w:val="center"/>
        </w:trPr>
        <w:tc>
          <w:tcPr>
            <w:tcW w:w="1061" w:type="dxa"/>
            <w:vMerge w:val="restart"/>
            <w:tcBorders>
              <w:top w:val="single" w:color="008000" w:sz="6" w:space="0"/>
              <w:left w:val="nil"/>
              <w:right w:val="single" w:color="008000" w:sz="4" w:space="0"/>
            </w:tcBorders>
            <w:shd w:val="clear" w:color="auto" w:fill="CCFFCC"/>
            <w:tcMar>
              <w:top w:w="20" w:type="dxa"/>
              <w:left w:w="20" w:type="dxa"/>
              <w:bottom w:w="0" w:type="dxa"/>
              <w:right w:w="20" w:type="dxa"/>
            </w:tcMar>
            <w:vAlign w:val="center"/>
          </w:tcPr>
          <w:p>
            <w:pPr>
              <w:rPr>
                <w:sz w:val="18"/>
                <w:szCs w:val="18"/>
              </w:rPr>
            </w:pPr>
          </w:p>
        </w:tc>
        <w:tc>
          <w:tcPr>
            <w:tcW w:w="1275" w:type="dxa"/>
            <w:vMerge w:val="restart"/>
            <w:tcBorders>
              <w:top w:val="single" w:color="008000" w:sz="6" w:space="0"/>
              <w:left w:val="single" w:color="008000" w:sz="4"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Incremental all-system financing aggregates</w:t>
            </w:r>
            <w:r>
              <w:rPr>
                <w:sz w:val="18"/>
                <w:szCs w:val="18"/>
                <w:vertAlign w:val="superscript"/>
              </w:rPr>
              <w:fldChar w:fldCharType="begin"/>
            </w:r>
            <w:r>
              <w:rPr>
                <w:sz w:val="18"/>
                <w:szCs w:val="18"/>
                <w:vertAlign w:val="superscript"/>
              </w:rPr>
              <w:instrText xml:space="preserve"> = 1 \* GB3 </w:instrText>
            </w:r>
            <w:r>
              <w:rPr>
                <w:sz w:val="18"/>
                <w:szCs w:val="18"/>
                <w:vertAlign w:val="superscript"/>
              </w:rPr>
              <w:fldChar w:fldCharType="separate"/>
            </w:r>
            <w:r>
              <w:rPr>
                <w:rFonts w:ascii="Cambria Math" w:hAnsi="Cambria Math"/>
                <w:sz w:val="18"/>
                <w:szCs w:val="18"/>
                <w:vertAlign w:val="superscript"/>
              </w:rPr>
              <w:t>①</w:t>
            </w:r>
            <w:r>
              <w:rPr>
                <w:sz w:val="18"/>
                <w:szCs w:val="18"/>
                <w:vertAlign w:val="superscript"/>
              </w:rPr>
              <w:fldChar w:fldCharType="end"/>
            </w:r>
          </w:p>
        </w:tc>
        <w:tc>
          <w:tcPr>
            <w:tcW w:w="6106" w:type="dxa"/>
            <w:gridSpan w:val="7"/>
            <w:tcBorders>
              <w:top w:val="single" w:color="008000" w:sz="6" w:space="0"/>
              <w:left w:val="single" w:color="008000" w:sz="4" w:space="0"/>
              <w:bottom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Of which:</w:t>
            </w:r>
          </w:p>
        </w:tc>
      </w:tr>
      <w:tr>
        <w:tblPrEx>
          <w:tblLayout w:type="fixed"/>
          <w:tblCellMar>
            <w:top w:w="0" w:type="dxa"/>
            <w:left w:w="0" w:type="dxa"/>
            <w:bottom w:w="0" w:type="dxa"/>
            <w:right w:w="0" w:type="dxa"/>
          </w:tblCellMar>
        </w:tblPrEx>
        <w:trPr>
          <w:cantSplit/>
          <w:trHeight w:val="720" w:hRule="atLeast"/>
          <w:jc w:val="center"/>
        </w:trPr>
        <w:tc>
          <w:tcPr>
            <w:tcW w:w="1061" w:type="dxa"/>
            <w:vMerge w:val="continue"/>
            <w:tcBorders>
              <w:left w:val="nil"/>
              <w:bottom w:val="single" w:color="008000" w:sz="6" w:space="0"/>
              <w:right w:val="single" w:color="008000" w:sz="4" w:space="0"/>
            </w:tcBorders>
            <w:shd w:val="clear" w:color="auto" w:fill="CCFFCC"/>
            <w:vAlign w:val="center"/>
          </w:tcPr>
          <w:p>
            <w:pPr>
              <w:rPr>
                <w:b/>
                <w:bCs/>
                <w:sz w:val="18"/>
                <w:szCs w:val="18"/>
              </w:rPr>
            </w:pPr>
          </w:p>
        </w:tc>
        <w:tc>
          <w:tcPr>
            <w:tcW w:w="1275" w:type="dxa"/>
            <w:vMerge w:val="continue"/>
            <w:tcBorders>
              <w:left w:val="single" w:color="008000" w:sz="4" w:space="0"/>
              <w:bottom w:val="single" w:color="008000" w:sz="6" w:space="0"/>
              <w:right w:val="single" w:color="008000" w:sz="4" w:space="0"/>
            </w:tcBorders>
            <w:shd w:val="clear" w:color="auto" w:fill="CCFFCC"/>
            <w:vAlign w:val="center"/>
          </w:tcPr>
          <w:p>
            <w:pPr>
              <w:rPr>
                <w:b/>
                <w:bCs/>
                <w:sz w:val="18"/>
                <w:szCs w:val="18"/>
              </w:rPr>
            </w:pPr>
          </w:p>
        </w:tc>
        <w:tc>
          <w:tcPr>
            <w:tcW w:w="709"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RMB loans </w:t>
            </w:r>
          </w:p>
        </w:tc>
        <w:tc>
          <w:tcPr>
            <w:tcW w:w="992"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Foreign- currency</w:t>
            </w:r>
          </w:p>
          <w:p>
            <w:pPr>
              <w:rPr>
                <w:sz w:val="18"/>
                <w:szCs w:val="18"/>
              </w:rPr>
            </w:pPr>
            <w:r>
              <w:rPr>
                <w:sz w:val="18"/>
                <w:szCs w:val="18"/>
              </w:rPr>
              <w:t>denominated (RMB equivalent)</w:t>
            </w:r>
          </w:p>
        </w:tc>
        <w:tc>
          <w:tcPr>
            <w:tcW w:w="851"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Entrusted loans</w:t>
            </w:r>
          </w:p>
        </w:tc>
        <w:tc>
          <w:tcPr>
            <w:tcW w:w="567"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Trust loans </w:t>
            </w:r>
          </w:p>
        </w:tc>
        <w:tc>
          <w:tcPr>
            <w:tcW w:w="1134"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 xml:space="preserve">Undiscounted bankers’ acceptances </w:t>
            </w:r>
          </w:p>
        </w:tc>
        <w:tc>
          <w:tcPr>
            <w:tcW w:w="925" w:type="dxa"/>
            <w:tcBorders>
              <w:top w:val="single" w:color="00800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Enterprise bonds</w:t>
            </w:r>
          </w:p>
        </w:tc>
        <w:tc>
          <w:tcPr>
            <w:tcW w:w="928" w:type="dxa"/>
            <w:tcBorders>
              <w:top w:val="single" w:color="008000" w:sz="4" w:space="0"/>
              <w:left w:val="single" w:color="008000" w:sz="4" w:space="0"/>
              <w:bottom w:val="single" w:color="008000" w:sz="6" w:space="0"/>
              <w:right w:val="nil"/>
            </w:tcBorders>
            <w:shd w:val="clear" w:color="auto" w:fill="CCFFCC"/>
            <w:tcMar>
              <w:top w:w="20" w:type="dxa"/>
              <w:left w:w="20" w:type="dxa"/>
              <w:bottom w:w="0" w:type="dxa"/>
              <w:right w:w="20" w:type="dxa"/>
            </w:tcMar>
            <w:vAlign w:val="center"/>
          </w:tcPr>
          <w:p>
            <w:pPr>
              <w:rPr>
                <w:sz w:val="18"/>
                <w:szCs w:val="18"/>
              </w:rPr>
            </w:pPr>
            <w:r>
              <w:rPr>
                <w:sz w:val="18"/>
                <w:szCs w:val="18"/>
              </w:rPr>
              <w:t>Financing by domestic institutions via the domestic stock markets</w:t>
            </w:r>
          </w:p>
        </w:tc>
      </w:tr>
      <w:tr>
        <w:tblPrEx>
          <w:tblLayout w:type="fixed"/>
          <w:tblCellMar>
            <w:top w:w="0" w:type="dxa"/>
            <w:left w:w="0" w:type="dxa"/>
            <w:bottom w:w="0" w:type="dxa"/>
            <w:right w:w="0" w:type="dxa"/>
          </w:tblCellMar>
        </w:tblPrEx>
        <w:trPr>
          <w:trHeight w:val="375" w:hRule="atLeast"/>
          <w:jc w:val="center"/>
        </w:trPr>
        <w:tc>
          <w:tcPr>
            <w:tcW w:w="1061" w:type="dxa"/>
            <w:tcBorders>
              <w:top w:val="single" w:color="C0C0C0" w:sz="4" w:space="0"/>
              <w:left w:val="nil"/>
              <w:bottom w:val="single" w:color="C0C0C0" w:sz="4" w:space="0"/>
              <w:right w:val="single" w:color="008000" w:sz="4" w:space="0"/>
            </w:tcBorders>
            <w:shd w:val="clear" w:color="auto" w:fill="FFFFFF"/>
            <w:tcMar>
              <w:top w:w="20" w:type="dxa"/>
              <w:left w:w="20" w:type="dxa"/>
              <w:bottom w:w="0" w:type="dxa"/>
              <w:right w:w="20" w:type="dxa"/>
            </w:tcMar>
            <w:vAlign w:val="center"/>
          </w:tcPr>
          <w:p>
            <w:pPr>
              <w:rPr>
                <w:sz w:val="18"/>
                <w:szCs w:val="18"/>
              </w:rPr>
            </w:pPr>
            <w:r>
              <w:rPr>
                <w:sz w:val="18"/>
                <w:szCs w:val="18"/>
              </w:rPr>
              <w:t xml:space="preserve"> </w:t>
            </w:r>
            <w:r>
              <w:rPr>
                <w:rFonts w:hint="eastAsia"/>
                <w:sz w:val="18"/>
                <w:szCs w:val="18"/>
              </w:rPr>
              <w:t>Q1, 2018</w:t>
            </w:r>
            <w:r>
              <w:rPr>
                <w:sz w:val="18"/>
                <w:szCs w:val="18"/>
              </w:rPr>
              <w:t xml:space="preserve"> </w:t>
            </w:r>
            <w:r>
              <w:rPr>
                <w:rFonts w:ascii="Cambria Math" w:hAnsi="Cambria Math"/>
                <w:sz w:val="18"/>
                <w:szCs w:val="18"/>
                <w:vertAlign w:val="superscript"/>
              </w:rPr>
              <w:t>②</w:t>
            </w:r>
          </w:p>
        </w:tc>
        <w:tc>
          <w:tcPr>
            <w:tcW w:w="1275"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55765</w:t>
            </w:r>
          </w:p>
        </w:tc>
        <w:tc>
          <w:tcPr>
            <w:tcW w:w="709"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48474</w:t>
            </w:r>
          </w:p>
        </w:tc>
        <w:tc>
          <w:tcPr>
            <w:tcW w:w="992"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492</w:t>
            </w:r>
          </w:p>
        </w:tc>
        <w:tc>
          <w:tcPr>
            <w:tcW w:w="851"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rPr>
                <w:sz w:val="18"/>
                <w:szCs w:val="18"/>
              </w:rPr>
              <w:t>–</w:t>
            </w:r>
            <w:r>
              <w:t>3314</w:t>
            </w:r>
          </w:p>
        </w:tc>
        <w:tc>
          <w:tcPr>
            <w:tcW w:w="567"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758</w:t>
            </w:r>
          </w:p>
        </w:tc>
        <w:tc>
          <w:tcPr>
            <w:tcW w:w="1134"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1221</w:t>
            </w:r>
          </w:p>
        </w:tc>
        <w:tc>
          <w:tcPr>
            <w:tcW w:w="925" w:type="dxa"/>
            <w:tcBorders>
              <w:top w:val="single" w:color="C0C0C0" w:sz="4" w:space="0"/>
              <w:left w:val="single" w:color="008000" w:sz="4" w:space="0"/>
              <w:bottom w:val="single" w:color="C0C0C0" w:sz="4" w:space="0"/>
              <w:right w:val="single" w:color="008000" w:sz="4" w:space="0"/>
            </w:tcBorders>
            <w:shd w:val="clear" w:color="auto" w:fill="FFFFFF"/>
            <w:tcMar>
              <w:top w:w="20" w:type="dxa"/>
              <w:left w:w="20" w:type="dxa"/>
              <w:bottom w:w="0" w:type="dxa"/>
              <w:right w:w="20" w:type="dxa"/>
            </w:tcMar>
          </w:tcPr>
          <w:p>
            <w:r>
              <w:t>5371</w:t>
            </w:r>
          </w:p>
        </w:tc>
        <w:tc>
          <w:tcPr>
            <w:tcW w:w="928" w:type="dxa"/>
            <w:tcBorders>
              <w:top w:val="single" w:color="C0C0C0" w:sz="4" w:space="0"/>
              <w:left w:val="single" w:color="008000" w:sz="4" w:space="0"/>
              <w:bottom w:val="single" w:color="C0C0C0" w:sz="4" w:space="0"/>
              <w:right w:val="nil"/>
            </w:tcBorders>
            <w:shd w:val="clear" w:color="auto" w:fill="FFFFFF"/>
            <w:tcMar>
              <w:top w:w="20" w:type="dxa"/>
              <w:left w:w="20" w:type="dxa"/>
              <w:bottom w:w="0" w:type="dxa"/>
              <w:right w:w="20" w:type="dxa"/>
            </w:tcMar>
          </w:tcPr>
          <w:p>
            <w:r>
              <w:t>1283</w:t>
            </w:r>
          </w:p>
        </w:tc>
      </w:tr>
      <w:tr>
        <w:tblPrEx>
          <w:tblLayout w:type="fixed"/>
          <w:tblCellMar>
            <w:top w:w="0" w:type="dxa"/>
            <w:left w:w="0" w:type="dxa"/>
            <w:bottom w:w="0" w:type="dxa"/>
            <w:right w:w="0" w:type="dxa"/>
          </w:tblCellMar>
        </w:tblPrEx>
        <w:trPr>
          <w:trHeight w:val="375" w:hRule="atLeast"/>
          <w:jc w:val="center"/>
        </w:trPr>
        <w:tc>
          <w:tcPr>
            <w:tcW w:w="1061" w:type="dxa"/>
            <w:tcBorders>
              <w:top w:val="single" w:color="C0C0C0" w:sz="4" w:space="0"/>
              <w:left w:val="nil"/>
              <w:bottom w:val="single" w:color="008000" w:sz="6" w:space="0"/>
              <w:right w:val="single" w:color="008000" w:sz="4" w:space="0"/>
            </w:tcBorders>
            <w:shd w:val="clear" w:color="auto" w:fill="CCFFCC"/>
            <w:tcMar>
              <w:top w:w="20" w:type="dxa"/>
              <w:left w:w="20" w:type="dxa"/>
              <w:bottom w:w="0" w:type="dxa"/>
              <w:right w:w="20" w:type="dxa"/>
            </w:tcMar>
            <w:vAlign w:val="center"/>
          </w:tcPr>
          <w:p>
            <w:pPr>
              <w:rPr>
                <w:sz w:val="18"/>
                <w:szCs w:val="18"/>
              </w:rPr>
            </w:pPr>
            <w:r>
              <w:rPr>
                <w:sz w:val="18"/>
                <w:szCs w:val="18"/>
              </w:rPr>
              <w:t>Year-on-</w:t>
            </w:r>
          </w:p>
          <w:p>
            <w:pPr>
              <w:rPr>
                <w:sz w:val="18"/>
                <w:szCs w:val="18"/>
              </w:rPr>
            </w:pPr>
            <w:r>
              <w:rPr>
                <w:sz w:val="18"/>
                <w:szCs w:val="18"/>
              </w:rPr>
              <w:t>year change</w:t>
            </w:r>
          </w:p>
        </w:tc>
        <w:tc>
          <w:tcPr>
            <w:tcW w:w="1275"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13299</w:t>
            </w:r>
          </w:p>
        </w:tc>
        <w:tc>
          <w:tcPr>
            <w:tcW w:w="709"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3438</w:t>
            </w:r>
          </w:p>
        </w:tc>
        <w:tc>
          <w:tcPr>
            <w:tcW w:w="992"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290</w:t>
            </w:r>
          </w:p>
        </w:tc>
        <w:tc>
          <w:tcPr>
            <w:tcW w:w="851"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9661</w:t>
            </w:r>
          </w:p>
        </w:tc>
        <w:tc>
          <w:tcPr>
            <w:tcW w:w="567"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6591</w:t>
            </w:r>
          </w:p>
        </w:tc>
        <w:tc>
          <w:tcPr>
            <w:tcW w:w="1134"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rPr>
                <w:sz w:val="18"/>
                <w:szCs w:val="18"/>
              </w:rPr>
              <w:t>–</w:t>
            </w:r>
            <w:r>
              <w:t>5581</w:t>
            </w:r>
          </w:p>
        </w:tc>
        <w:tc>
          <w:tcPr>
            <w:tcW w:w="925" w:type="dxa"/>
            <w:tcBorders>
              <w:top w:val="single" w:color="C0C0C0" w:sz="4" w:space="0"/>
              <w:left w:val="single" w:color="008000" w:sz="4" w:space="0"/>
              <w:bottom w:val="single" w:color="008000" w:sz="6" w:space="0"/>
              <w:right w:val="single" w:color="008000" w:sz="4" w:space="0"/>
            </w:tcBorders>
            <w:shd w:val="clear" w:color="auto" w:fill="CCFFCC"/>
            <w:tcMar>
              <w:top w:w="20" w:type="dxa"/>
              <w:left w:w="20" w:type="dxa"/>
              <w:bottom w:w="0" w:type="dxa"/>
              <w:right w:w="20" w:type="dxa"/>
            </w:tcMar>
          </w:tcPr>
          <w:p>
            <w:r>
              <w:t>6877</w:t>
            </w:r>
          </w:p>
        </w:tc>
        <w:tc>
          <w:tcPr>
            <w:tcW w:w="928" w:type="dxa"/>
            <w:tcBorders>
              <w:top w:val="single" w:color="C0C0C0" w:sz="4" w:space="0"/>
              <w:left w:val="single" w:color="008000" w:sz="4" w:space="0"/>
              <w:bottom w:val="single" w:color="008000" w:sz="6" w:space="0"/>
              <w:right w:val="nil"/>
            </w:tcBorders>
            <w:shd w:val="clear" w:color="auto" w:fill="CCFFCC"/>
            <w:tcMar>
              <w:top w:w="20" w:type="dxa"/>
              <w:left w:w="20" w:type="dxa"/>
              <w:bottom w:w="0" w:type="dxa"/>
              <w:right w:w="20" w:type="dxa"/>
            </w:tcMar>
          </w:tcPr>
          <w:p>
            <w:r>
              <w:rPr>
                <w:sz w:val="18"/>
                <w:szCs w:val="18"/>
              </w:rPr>
              <w:t>–</w:t>
            </w:r>
            <w:r>
              <w:t>1313</w:t>
            </w:r>
          </w:p>
        </w:tc>
      </w:tr>
    </w:tbl>
    <w:p>
      <w:pPr>
        <w:autoSpaceDE w:val="0"/>
        <w:autoSpaceDN w:val="0"/>
        <w:adjustRightInd w:val="0"/>
        <w:rPr>
          <w:rFonts w:eastAsia="楷体_GB2312"/>
          <w:kern w:val="0"/>
          <w:sz w:val="15"/>
          <w:szCs w:val="15"/>
        </w:rPr>
      </w:pPr>
      <w:r>
        <w:rPr>
          <w:rFonts w:eastAsia="楷体_GB2312"/>
          <w:kern w:val="0"/>
          <w:sz w:val="15"/>
          <w:szCs w:val="15"/>
        </w:rPr>
        <w:t xml:space="preserve">Notes: </w:t>
      </w:r>
      <w:r>
        <w:rPr>
          <w:rFonts w:ascii="Cambria Math" w:hAnsi="Cambria Math" w:cs="Cambria Math"/>
          <w:kern w:val="0"/>
          <w:sz w:val="15"/>
          <w:szCs w:val="15"/>
        </w:rPr>
        <w:t>1.)</w:t>
      </w:r>
      <w:r>
        <w:rPr>
          <w:rFonts w:eastAsia="楷体_GB2312"/>
          <w:kern w:val="0"/>
          <w:sz w:val="15"/>
          <w:szCs w:val="15"/>
        </w:rPr>
        <w:t xml:space="preserve"> An increment in the all-system financing aggregates refers to the total volume of financing provided by the financial system to the real economy </w:t>
      </w:r>
      <w:r>
        <w:rPr>
          <w:kern w:val="0"/>
          <w:sz w:val="15"/>
          <w:szCs w:val="15"/>
        </w:rPr>
        <w:t xml:space="preserve">(the non-financial corporate sector and the household sector of the domestic market) </w:t>
      </w:r>
      <w:r>
        <w:rPr>
          <w:rFonts w:eastAsia="楷体_GB2312"/>
          <w:kern w:val="0"/>
          <w:sz w:val="15"/>
          <w:szCs w:val="15"/>
        </w:rPr>
        <w:t xml:space="preserve">during a certain period of time. </w:t>
      </w:r>
      <w:r>
        <w:rPr>
          <w:rFonts w:ascii="Cambria Math" w:hAnsi="Cambria Math" w:cs="Cambria Math"/>
          <w:kern w:val="0"/>
          <w:sz w:val="15"/>
          <w:szCs w:val="15"/>
        </w:rPr>
        <w:t>2.)</w:t>
      </w:r>
      <w:r>
        <w:rPr>
          <w:rFonts w:eastAsia="楷体_GB2312"/>
          <w:kern w:val="0"/>
          <w:sz w:val="15"/>
          <w:szCs w:val="15"/>
        </w:rPr>
        <w:t xml:space="preserve"> Data for the current period are preliminary.</w:t>
      </w:r>
    </w:p>
    <w:p>
      <w:pPr>
        <w:autoSpaceDE w:val="0"/>
        <w:autoSpaceDN w:val="0"/>
        <w:adjustRightInd w:val="0"/>
        <w:rPr>
          <w:kern w:val="0"/>
          <w:sz w:val="15"/>
          <w:szCs w:val="15"/>
        </w:rPr>
      </w:pPr>
      <w:r>
        <w:rPr>
          <w:rFonts w:eastAsia="楷体_GB2312"/>
          <w:kern w:val="0"/>
          <w:sz w:val="15"/>
          <w:szCs w:val="15"/>
        </w:rPr>
        <w:t>Sources: People’s Bank of China, National Development and Reform Commission, China Securities Regulatory Commission, China Insurance Regulatory Commission, China Central Depository and Clearing Co., Ltd., National Association of Financial Market Institutional Investors, and so forth.</w:t>
      </w:r>
    </w:p>
    <w:p>
      <w:pPr>
        <w:pStyle w:val="119"/>
        <w:spacing w:line="240" w:lineRule="auto"/>
        <w:rPr>
          <w:rFonts w:ascii="楷体_GB2312" w:hAnsi="Times New Roman" w:eastAsia="楷体_GB2312" w:cstheme="minorBidi"/>
          <w:color w:val="FF0000"/>
        </w:rPr>
      </w:pPr>
    </w:p>
    <w:p>
      <w:pPr>
        <w:keepNext/>
        <w:widowControl/>
        <w:spacing w:after="240" w:line="440" w:lineRule="exact"/>
        <w:outlineLvl w:val="1"/>
        <w:rPr>
          <w:rFonts w:eastAsia="黑体"/>
          <w:b/>
          <w:bCs/>
          <w:iCs/>
          <w:kern w:val="0"/>
          <w:sz w:val="24"/>
        </w:rPr>
      </w:pPr>
      <w:bookmarkStart w:id="30" w:name="_Toc423005887"/>
      <w:bookmarkStart w:id="31" w:name="_Toc411351812"/>
      <w:bookmarkStart w:id="32" w:name="_Toc472330062"/>
      <w:bookmarkStart w:id="33" w:name="_Toc464655676"/>
      <w:bookmarkStart w:id="34" w:name="_Toc477878078"/>
      <w:bookmarkStart w:id="35" w:name="_Toc492904371"/>
      <w:bookmarkStart w:id="36" w:name="_Toc517190502"/>
      <w:bookmarkStart w:id="37" w:name="_Toc505346984"/>
      <w:r>
        <w:rPr>
          <w:rFonts w:eastAsia="黑体"/>
          <w:b/>
          <w:bCs/>
          <w:iCs/>
          <w:kern w:val="0"/>
          <w:sz w:val="24"/>
          <w:lang w:eastAsia="zh-TW"/>
        </w:rPr>
        <w:t xml:space="preserve">V. Interest </w:t>
      </w:r>
      <w:bookmarkEnd w:id="30"/>
      <w:bookmarkEnd w:id="31"/>
      <w:r>
        <w:rPr>
          <w:rFonts w:hint="eastAsia" w:eastAsia="黑体"/>
          <w:b/>
          <w:bCs/>
          <w:iCs/>
          <w:kern w:val="0"/>
          <w:sz w:val="24"/>
        </w:rPr>
        <w:t>r</w:t>
      </w:r>
      <w:r>
        <w:rPr>
          <w:rFonts w:eastAsia="黑体"/>
          <w:b/>
          <w:bCs/>
          <w:iCs/>
          <w:kern w:val="0"/>
          <w:sz w:val="24"/>
          <w:lang w:eastAsia="zh-TW"/>
        </w:rPr>
        <w:t xml:space="preserve">ates on </w:t>
      </w:r>
      <w:bookmarkEnd w:id="32"/>
      <w:bookmarkEnd w:id="33"/>
      <w:bookmarkEnd w:id="34"/>
      <w:bookmarkEnd w:id="35"/>
      <w:r>
        <w:rPr>
          <w:rFonts w:hint="eastAsia" w:eastAsia="黑体"/>
          <w:b/>
          <w:bCs/>
          <w:iCs/>
          <w:kern w:val="0"/>
          <w:sz w:val="24"/>
        </w:rPr>
        <w:t>l</w:t>
      </w:r>
      <w:r>
        <w:rPr>
          <w:rFonts w:eastAsia="黑体"/>
          <w:b/>
          <w:bCs/>
          <w:iCs/>
          <w:kern w:val="0"/>
          <w:sz w:val="24"/>
          <w:lang w:eastAsia="zh-TW"/>
        </w:rPr>
        <w:t xml:space="preserve">oans </w:t>
      </w:r>
      <w:r>
        <w:rPr>
          <w:rFonts w:hint="eastAsia" w:eastAsia="黑体"/>
          <w:b/>
          <w:bCs/>
          <w:iCs/>
          <w:kern w:val="0"/>
          <w:sz w:val="24"/>
        </w:rPr>
        <w:t xml:space="preserve">offered by financial institutions </w:t>
      </w:r>
      <w:r>
        <w:rPr>
          <w:rFonts w:eastAsia="黑体"/>
          <w:b/>
          <w:bCs/>
          <w:iCs/>
          <w:kern w:val="0"/>
          <w:sz w:val="24"/>
        </w:rPr>
        <w:t>stabilized</w:t>
      </w:r>
      <w:r>
        <w:rPr>
          <w:rFonts w:hint="eastAsia" w:eastAsia="黑体"/>
          <w:b/>
          <w:bCs/>
          <w:iCs/>
          <w:kern w:val="0"/>
          <w:sz w:val="24"/>
        </w:rPr>
        <w:t xml:space="preserve"> and rose moderately</w:t>
      </w:r>
      <w:bookmarkEnd w:id="36"/>
      <w:r>
        <w:rPr>
          <w:rFonts w:hint="eastAsia" w:eastAsia="黑体"/>
          <w:b/>
          <w:bCs/>
          <w:iCs/>
          <w:kern w:val="0"/>
          <w:sz w:val="24"/>
        </w:rPr>
        <w:t xml:space="preserve"> </w:t>
      </w:r>
      <w:bookmarkEnd w:id="37"/>
    </w:p>
    <w:p>
      <w:pPr>
        <w:spacing w:line="440" w:lineRule="exact"/>
        <w:rPr>
          <w:rFonts w:eastAsia="仿宋_GB2312"/>
          <w:sz w:val="24"/>
        </w:rPr>
      </w:pPr>
      <w:r>
        <w:rPr>
          <w:rFonts w:eastAsia="仿宋_GB2312"/>
          <w:b/>
          <w:sz w:val="24"/>
        </w:rPr>
        <w:t xml:space="preserve">Due to the stable and positive </w:t>
      </w:r>
      <w:r>
        <w:rPr>
          <w:b/>
          <w:sz w:val="24"/>
        </w:rPr>
        <w:t>economic performance and strong demand for credit,</w:t>
      </w:r>
      <w:r>
        <w:rPr>
          <w:rFonts w:eastAsia="仿宋_GB2312"/>
          <w:b/>
          <w:sz w:val="24"/>
        </w:rPr>
        <w:t xml:space="preserve"> the interest rates on loans</w:t>
      </w:r>
      <w:r>
        <w:rPr>
          <w:b/>
          <w:sz w:val="24"/>
        </w:rPr>
        <w:t xml:space="preserve"> offered</w:t>
      </w:r>
      <w:r>
        <w:rPr>
          <w:rFonts w:eastAsia="仿宋_GB2312"/>
          <w:b/>
          <w:sz w:val="24"/>
        </w:rPr>
        <w:t xml:space="preserve"> by financial institutions stabilized and rose moderately, with interest rates on loans to enterprises rising by a smaller margin.</w:t>
      </w:r>
      <w:r>
        <w:rPr>
          <w:rFonts w:hint="eastAsia" w:eastAsia="仿宋_GB2312"/>
          <w:sz w:val="24"/>
        </w:rPr>
        <w:t xml:space="preserve"> </w:t>
      </w:r>
      <w:r>
        <w:rPr>
          <w:rFonts w:eastAsia="仿宋_GB2312"/>
          <w:sz w:val="24"/>
        </w:rPr>
        <w:t xml:space="preserve">In </w:t>
      </w:r>
      <w:r>
        <w:rPr>
          <w:rFonts w:hint="eastAsia" w:eastAsia="仿宋_GB2312"/>
          <w:sz w:val="24"/>
        </w:rPr>
        <w:t>March</w:t>
      </w:r>
      <w:r>
        <w:rPr>
          <w:rFonts w:eastAsia="仿宋_GB2312"/>
          <w:sz w:val="24"/>
        </w:rPr>
        <w:t>, the weighted average interest rate</w:t>
      </w:r>
      <w:r>
        <w:rPr>
          <w:rFonts w:hint="eastAsia" w:eastAsia="仿宋_GB2312"/>
          <w:sz w:val="24"/>
        </w:rPr>
        <w:t xml:space="preserve"> </w:t>
      </w:r>
      <w:r>
        <w:rPr>
          <w:rFonts w:eastAsia="仿宋_GB2312"/>
          <w:sz w:val="24"/>
        </w:rPr>
        <w:t>on loans offered to non-financial enterprises and other sectors was 5.</w:t>
      </w:r>
      <w:r>
        <w:rPr>
          <w:rFonts w:hint="eastAsia" w:eastAsia="仿宋_GB2312"/>
          <w:sz w:val="24"/>
        </w:rPr>
        <w:t>96</w:t>
      </w:r>
      <w:r>
        <w:rPr>
          <w:rFonts w:eastAsia="仿宋_GB2312"/>
          <w:sz w:val="24"/>
        </w:rPr>
        <w:t xml:space="preserve"> percent, a</w:t>
      </w:r>
      <w:r>
        <w:rPr>
          <w:rFonts w:hint="eastAsia" w:eastAsia="仿宋_GB2312"/>
          <w:sz w:val="24"/>
        </w:rPr>
        <w:t>n increase</w:t>
      </w:r>
      <w:r>
        <w:rPr>
          <w:rFonts w:eastAsia="仿宋_GB2312"/>
          <w:sz w:val="24"/>
        </w:rPr>
        <w:t xml:space="preserve"> of 0.</w:t>
      </w:r>
      <w:r>
        <w:rPr>
          <w:rFonts w:hint="eastAsia" w:eastAsia="仿宋_GB2312"/>
          <w:sz w:val="24"/>
        </w:rPr>
        <w:t>22</w:t>
      </w:r>
      <w:r>
        <w:rPr>
          <w:rFonts w:eastAsia="仿宋_GB2312"/>
          <w:sz w:val="24"/>
        </w:rPr>
        <w:t xml:space="preserve"> percentage point compared with that in </w:t>
      </w:r>
      <w:r>
        <w:rPr>
          <w:rFonts w:hint="eastAsia" w:eastAsia="仿宋_GB2312"/>
          <w:sz w:val="24"/>
        </w:rPr>
        <w:t>December 2017</w:t>
      </w:r>
      <w:r>
        <w:rPr>
          <w:rFonts w:eastAsia="仿宋_GB2312"/>
          <w:sz w:val="24"/>
        </w:rPr>
        <w:t>. In particular, the weighted average interest rate</w:t>
      </w:r>
      <w:r>
        <w:rPr>
          <w:rFonts w:hint="eastAsia"/>
          <w:sz w:val="24"/>
        </w:rPr>
        <w:t xml:space="preserve"> </w:t>
      </w:r>
      <w:r>
        <w:rPr>
          <w:sz w:val="24"/>
        </w:rPr>
        <w:t xml:space="preserve">on </w:t>
      </w:r>
      <w:r>
        <w:rPr>
          <w:rFonts w:eastAsia="仿宋_GB2312"/>
          <w:sz w:val="24"/>
        </w:rPr>
        <w:t xml:space="preserve">ordinary loans posted </w:t>
      </w:r>
      <w:r>
        <w:rPr>
          <w:rFonts w:hint="eastAsia" w:eastAsia="仿宋_GB2312"/>
          <w:sz w:val="24"/>
        </w:rPr>
        <w:t>6.01</w:t>
      </w:r>
      <w:r>
        <w:rPr>
          <w:rFonts w:eastAsia="仿宋_GB2312"/>
          <w:sz w:val="24"/>
        </w:rPr>
        <w:t xml:space="preserve"> percent, </w:t>
      </w:r>
      <w:r>
        <w:rPr>
          <w:rFonts w:hint="eastAsia" w:eastAsia="仿宋_GB2312"/>
          <w:sz w:val="24"/>
        </w:rPr>
        <w:t>up</w:t>
      </w:r>
      <w:r>
        <w:rPr>
          <w:rFonts w:eastAsia="仿宋_GB2312"/>
          <w:sz w:val="24"/>
        </w:rPr>
        <w:t xml:space="preserve"> 0.</w:t>
      </w:r>
      <w:r>
        <w:rPr>
          <w:rFonts w:hint="eastAsia" w:eastAsia="仿宋_GB2312"/>
          <w:sz w:val="24"/>
        </w:rPr>
        <w:t>21</w:t>
      </w:r>
      <w:r>
        <w:rPr>
          <w:rFonts w:eastAsia="仿宋_GB2312"/>
          <w:sz w:val="24"/>
        </w:rPr>
        <w:t xml:space="preserve"> percentage point from </w:t>
      </w:r>
      <w:r>
        <w:rPr>
          <w:rFonts w:hint="eastAsia" w:eastAsia="仿宋_GB2312"/>
          <w:sz w:val="24"/>
        </w:rPr>
        <w:t>December 2017</w:t>
      </w:r>
      <w:r>
        <w:rPr>
          <w:rFonts w:eastAsia="仿宋_GB2312"/>
          <w:sz w:val="24"/>
        </w:rPr>
        <w:t xml:space="preserve">; the weighted average bill financing rate posted </w:t>
      </w:r>
      <w:r>
        <w:rPr>
          <w:rFonts w:hint="eastAsia" w:eastAsia="仿宋_GB2312"/>
          <w:sz w:val="24"/>
        </w:rPr>
        <w:t xml:space="preserve">5.58 </w:t>
      </w:r>
      <w:r>
        <w:rPr>
          <w:rFonts w:eastAsia="仿宋_GB2312"/>
          <w:sz w:val="24"/>
        </w:rPr>
        <w:t xml:space="preserve">percent, </w:t>
      </w:r>
      <w:r>
        <w:rPr>
          <w:rFonts w:hint="eastAsia" w:eastAsia="仿宋_GB2312"/>
          <w:sz w:val="24"/>
        </w:rPr>
        <w:t>up</w:t>
      </w:r>
      <w:r>
        <w:rPr>
          <w:rFonts w:eastAsia="仿宋_GB2312"/>
          <w:sz w:val="24"/>
        </w:rPr>
        <w:t xml:space="preserve"> 0.</w:t>
      </w:r>
      <w:r>
        <w:rPr>
          <w:rFonts w:hint="eastAsia" w:eastAsia="仿宋_GB2312"/>
          <w:sz w:val="24"/>
        </w:rPr>
        <w:t>35</w:t>
      </w:r>
      <w:r>
        <w:rPr>
          <w:rFonts w:eastAsia="仿宋_GB2312"/>
          <w:sz w:val="24"/>
        </w:rPr>
        <w:t xml:space="preserve"> percentage point from</w:t>
      </w:r>
      <w:r>
        <w:rPr>
          <w:rFonts w:hint="eastAsia" w:eastAsia="仿宋_GB2312"/>
          <w:sz w:val="24"/>
        </w:rPr>
        <w:t xml:space="preserve"> December 2017</w:t>
      </w:r>
      <w:r>
        <w:rPr>
          <w:rFonts w:eastAsia="仿宋_GB2312"/>
          <w:sz w:val="24"/>
        </w:rPr>
        <w:t>. Interest rates</w:t>
      </w:r>
      <w:r>
        <w:rPr>
          <w:rFonts w:hint="eastAsia" w:eastAsia="仿宋_GB2312"/>
          <w:sz w:val="24"/>
        </w:rPr>
        <w:t xml:space="preserve"> </w:t>
      </w:r>
      <w:r>
        <w:rPr>
          <w:rFonts w:eastAsia="仿宋_GB2312"/>
          <w:sz w:val="24"/>
        </w:rPr>
        <w:t>on mortgage loans edged up, with the weighted average interest rate posting 5.</w:t>
      </w:r>
      <w:r>
        <w:rPr>
          <w:rFonts w:hint="eastAsia" w:eastAsia="仿宋_GB2312"/>
          <w:sz w:val="24"/>
        </w:rPr>
        <w:t>42</w:t>
      </w:r>
      <w:r>
        <w:rPr>
          <w:rFonts w:eastAsia="仿宋_GB2312"/>
          <w:sz w:val="24"/>
        </w:rPr>
        <w:t xml:space="preserve"> percent in </w:t>
      </w:r>
      <w:r>
        <w:rPr>
          <w:rFonts w:hint="eastAsia" w:eastAsia="仿宋_GB2312"/>
          <w:sz w:val="24"/>
        </w:rPr>
        <w:t>March</w:t>
      </w:r>
      <w:r>
        <w:rPr>
          <w:rFonts w:eastAsia="仿宋_GB2312"/>
          <w:sz w:val="24"/>
        </w:rPr>
        <w:t>, up 0.</w:t>
      </w:r>
      <w:r>
        <w:rPr>
          <w:rFonts w:hint="eastAsia" w:eastAsia="仿宋_GB2312"/>
          <w:sz w:val="24"/>
        </w:rPr>
        <w:t>16</w:t>
      </w:r>
      <w:r>
        <w:rPr>
          <w:rFonts w:eastAsia="仿宋_GB2312"/>
          <w:sz w:val="24"/>
        </w:rPr>
        <w:t xml:space="preserve"> percentage point from</w:t>
      </w:r>
      <w:r>
        <w:rPr>
          <w:rFonts w:hint="eastAsia" w:eastAsia="仿宋_GB2312"/>
          <w:sz w:val="24"/>
        </w:rPr>
        <w:t xml:space="preserve"> December 2017</w:t>
      </w:r>
      <w:r>
        <w:rPr>
          <w:rFonts w:eastAsia="仿宋_GB2312"/>
          <w:sz w:val="24"/>
        </w:rPr>
        <w:t>.</w:t>
      </w:r>
    </w:p>
    <w:p>
      <w:pPr>
        <w:spacing w:line="440" w:lineRule="exact"/>
        <w:rPr>
          <w:rFonts w:eastAsia="仿宋_GB2312"/>
          <w:sz w:val="24"/>
        </w:rPr>
      </w:pPr>
    </w:p>
    <w:p>
      <w:pPr>
        <w:spacing w:line="440" w:lineRule="exact"/>
        <w:rPr>
          <w:rFonts w:eastAsia="仿宋_GB2312"/>
          <w:sz w:val="24"/>
        </w:rPr>
      </w:pPr>
      <w:bookmarkStart w:id="38" w:name="_Toc423005527"/>
      <w:r>
        <w:rPr>
          <w:rFonts w:eastAsia="仿宋_GB2312"/>
          <w:b/>
          <w:sz w:val="24"/>
        </w:rPr>
        <w:t>Broken down by floating range, the share of loans with interest rates above the benchmark rate increased moderately, whereas the share of loans with interest rates below or at the benchmark rate decreased moderately.</w:t>
      </w:r>
      <w:r>
        <w:rPr>
          <w:rFonts w:eastAsia="仿宋_GB2312"/>
          <w:sz w:val="24"/>
        </w:rPr>
        <w:t xml:space="preserve"> In </w:t>
      </w:r>
      <w:r>
        <w:rPr>
          <w:rFonts w:hint="eastAsia" w:eastAsia="仿宋_GB2312"/>
          <w:sz w:val="24"/>
        </w:rPr>
        <w:t>March</w:t>
      </w:r>
      <w:r>
        <w:rPr>
          <w:rFonts w:eastAsia="仿宋_GB2312"/>
          <w:sz w:val="24"/>
        </w:rPr>
        <w:t xml:space="preserve">, the share of loans with interest rates </w:t>
      </w:r>
      <w:r>
        <w:rPr>
          <w:rFonts w:hint="eastAsia" w:eastAsia="仿宋_GB2312"/>
          <w:sz w:val="24"/>
        </w:rPr>
        <w:t>higher</w:t>
      </w:r>
      <w:r>
        <w:rPr>
          <w:rFonts w:eastAsia="仿宋_GB2312"/>
          <w:sz w:val="24"/>
        </w:rPr>
        <w:t xml:space="preserve"> than the benchmark rate was </w:t>
      </w:r>
      <w:r>
        <w:rPr>
          <w:rFonts w:hint="eastAsia" w:eastAsia="仿宋_GB2312"/>
          <w:sz w:val="24"/>
        </w:rPr>
        <w:t>74.35</w:t>
      </w:r>
      <w:r>
        <w:rPr>
          <w:rFonts w:eastAsia="仿宋_GB2312"/>
          <w:sz w:val="24"/>
        </w:rPr>
        <w:t xml:space="preserve"> percent, </w:t>
      </w:r>
      <w:r>
        <w:rPr>
          <w:rFonts w:hint="eastAsia" w:eastAsia="仿宋_GB2312"/>
          <w:sz w:val="24"/>
        </w:rPr>
        <w:t>up</w:t>
      </w:r>
      <w:r>
        <w:rPr>
          <w:rFonts w:eastAsia="仿宋_GB2312"/>
          <w:sz w:val="24"/>
        </w:rPr>
        <w:t xml:space="preserve"> </w:t>
      </w:r>
      <w:r>
        <w:rPr>
          <w:rFonts w:hint="eastAsia" w:eastAsia="仿宋_GB2312"/>
          <w:sz w:val="24"/>
        </w:rPr>
        <w:t>9.94</w:t>
      </w:r>
      <w:r>
        <w:rPr>
          <w:rFonts w:eastAsia="仿宋_GB2312"/>
          <w:sz w:val="24"/>
        </w:rPr>
        <w:t xml:space="preserve"> percentage points from</w:t>
      </w:r>
      <w:r>
        <w:rPr>
          <w:rFonts w:hint="eastAsia" w:eastAsia="仿宋_GB2312"/>
          <w:sz w:val="24"/>
        </w:rPr>
        <w:t xml:space="preserve"> December 2017</w:t>
      </w:r>
      <w:r>
        <w:rPr>
          <w:rFonts w:eastAsia="仿宋_GB2312"/>
          <w:sz w:val="24"/>
        </w:rPr>
        <w:t xml:space="preserve">; the share of loans with interest rates at the benchmark rate was </w:t>
      </w:r>
      <w:r>
        <w:rPr>
          <w:rFonts w:hint="eastAsia" w:eastAsia="仿宋_GB2312"/>
          <w:sz w:val="24"/>
        </w:rPr>
        <w:t>16.04</w:t>
      </w:r>
      <w:r>
        <w:rPr>
          <w:rFonts w:eastAsia="仿宋_GB2312"/>
          <w:sz w:val="24"/>
        </w:rPr>
        <w:t xml:space="preserve"> percent, </w:t>
      </w:r>
      <w:r>
        <w:rPr>
          <w:rFonts w:hint="eastAsia" w:eastAsia="仿宋_GB2312"/>
          <w:sz w:val="24"/>
        </w:rPr>
        <w:t>down</w:t>
      </w:r>
      <w:r>
        <w:rPr>
          <w:rFonts w:eastAsia="仿宋_GB2312"/>
          <w:sz w:val="24"/>
        </w:rPr>
        <w:t xml:space="preserve"> </w:t>
      </w:r>
      <w:r>
        <w:rPr>
          <w:rFonts w:hint="eastAsia" w:eastAsia="仿宋_GB2312"/>
          <w:sz w:val="24"/>
        </w:rPr>
        <w:t>5.27</w:t>
      </w:r>
      <w:r>
        <w:rPr>
          <w:rFonts w:eastAsia="仿宋_GB2312"/>
          <w:sz w:val="24"/>
        </w:rPr>
        <w:t xml:space="preserve"> percentage points from</w:t>
      </w:r>
      <w:r>
        <w:rPr>
          <w:rFonts w:hint="eastAsia" w:eastAsia="仿宋_GB2312"/>
          <w:sz w:val="24"/>
        </w:rPr>
        <w:t xml:space="preserve"> December 2017</w:t>
      </w:r>
      <w:r>
        <w:rPr>
          <w:rFonts w:eastAsia="仿宋_GB2312"/>
          <w:sz w:val="24"/>
        </w:rPr>
        <w:t xml:space="preserve">; and the share of loans with interest rates </w:t>
      </w:r>
      <w:r>
        <w:rPr>
          <w:rFonts w:hint="eastAsia"/>
          <w:sz w:val="24"/>
        </w:rPr>
        <w:t>lower than</w:t>
      </w:r>
      <w:r>
        <w:rPr>
          <w:rFonts w:eastAsia="仿宋_GB2312"/>
          <w:sz w:val="24"/>
        </w:rPr>
        <w:t xml:space="preserve"> the benchmark rate was </w:t>
      </w:r>
      <w:r>
        <w:rPr>
          <w:rFonts w:hint="eastAsia" w:eastAsia="仿宋_GB2312"/>
          <w:sz w:val="24"/>
        </w:rPr>
        <w:t>9.61</w:t>
      </w:r>
      <w:r>
        <w:rPr>
          <w:rFonts w:eastAsia="仿宋_GB2312"/>
          <w:sz w:val="24"/>
        </w:rPr>
        <w:t xml:space="preserve"> percent, </w:t>
      </w:r>
      <w:r>
        <w:rPr>
          <w:rFonts w:hint="eastAsia" w:eastAsia="仿宋_GB2312"/>
          <w:sz w:val="24"/>
        </w:rPr>
        <w:t>down</w:t>
      </w:r>
      <w:r>
        <w:rPr>
          <w:rFonts w:eastAsia="仿宋_GB2312"/>
          <w:sz w:val="24"/>
        </w:rPr>
        <w:t xml:space="preserve"> by</w:t>
      </w:r>
      <w:r>
        <w:rPr>
          <w:rFonts w:hint="eastAsia" w:eastAsia="仿宋_GB2312"/>
          <w:sz w:val="24"/>
        </w:rPr>
        <w:t xml:space="preserve"> 4.67</w:t>
      </w:r>
      <w:r>
        <w:rPr>
          <w:rFonts w:eastAsia="仿宋_GB2312"/>
          <w:sz w:val="24"/>
        </w:rPr>
        <w:t xml:space="preserve"> percentage points from</w:t>
      </w:r>
      <w:r>
        <w:rPr>
          <w:rFonts w:hint="eastAsia" w:eastAsia="仿宋_GB2312"/>
          <w:sz w:val="24"/>
        </w:rPr>
        <w:t xml:space="preserve"> December 2017</w:t>
      </w:r>
      <w:r>
        <w:rPr>
          <w:rFonts w:eastAsia="仿宋_GB2312"/>
          <w:sz w:val="24"/>
        </w:rPr>
        <w:t>.</w:t>
      </w:r>
      <w:bookmarkEnd w:id="38"/>
    </w:p>
    <w:p>
      <w:pPr>
        <w:rPr>
          <w:rFonts w:eastAsia="仿宋_GB2312"/>
          <w:sz w:val="24"/>
        </w:rPr>
      </w:pPr>
    </w:p>
    <w:p>
      <w:pPr>
        <w:jc w:val="center"/>
        <w:rPr>
          <w:b/>
          <w:sz w:val="24"/>
        </w:rPr>
      </w:pPr>
      <w:bookmarkStart w:id="39" w:name="_Toc492909028"/>
      <w:bookmarkStart w:id="40" w:name="_Toc502051159"/>
      <w:bookmarkStart w:id="41" w:name="_Toc517190861"/>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6</w:t>
      </w:r>
      <w:r>
        <w:rPr>
          <w:b/>
          <w:sz w:val="24"/>
        </w:rPr>
        <w:fldChar w:fldCharType="end"/>
      </w:r>
      <w:r>
        <w:rPr>
          <w:b/>
          <w:sz w:val="24"/>
        </w:rPr>
        <w:t xml:space="preserve">. Shares of Loans with Rates Below, At, or Above the Benchmark Rate, January through </w:t>
      </w:r>
      <w:r>
        <w:rPr>
          <w:rFonts w:hint="eastAsia"/>
          <w:b/>
          <w:sz w:val="24"/>
        </w:rPr>
        <w:t>March</w:t>
      </w:r>
      <w:r>
        <w:rPr>
          <w:b/>
          <w:sz w:val="24"/>
        </w:rPr>
        <w:t xml:space="preserve"> 201</w:t>
      </w:r>
      <w:bookmarkEnd w:id="39"/>
      <w:bookmarkEnd w:id="40"/>
      <w:r>
        <w:rPr>
          <w:rFonts w:hint="eastAsia"/>
          <w:b/>
          <w:sz w:val="24"/>
        </w:rPr>
        <w:t>8</w:t>
      </w:r>
      <w:bookmarkEnd w:id="41"/>
    </w:p>
    <w:tbl>
      <w:tblPr>
        <w:tblStyle w:val="96"/>
        <w:tblW w:w="8737" w:type="dxa"/>
        <w:jc w:val="center"/>
        <w:tblInd w:w="0" w:type="dxa"/>
        <w:tblLayout w:type="fixed"/>
        <w:tblCellMar>
          <w:top w:w="0" w:type="dxa"/>
          <w:left w:w="0" w:type="dxa"/>
          <w:bottom w:w="0" w:type="dxa"/>
          <w:right w:w="0" w:type="dxa"/>
        </w:tblCellMar>
      </w:tblPr>
      <w:tblGrid>
        <w:gridCol w:w="915"/>
        <w:gridCol w:w="1144"/>
        <w:gridCol w:w="719"/>
        <w:gridCol w:w="746"/>
        <w:gridCol w:w="992"/>
        <w:gridCol w:w="999"/>
        <w:gridCol w:w="1075"/>
        <w:gridCol w:w="1246"/>
        <w:gridCol w:w="871"/>
        <w:gridCol w:w="30"/>
      </w:tblGrid>
      <w:tr>
        <w:tblPrEx>
          <w:tblLayout w:type="fixed"/>
          <w:tblCellMar>
            <w:top w:w="0" w:type="dxa"/>
            <w:left w:w="0" w:type="dxa"/>
            <w:bottom w:w="0" w:type="dxa"/>
            <w:right w:w="0" w:type="dxa"/>
          </w:tblCellMar>
        </w:tblPrEx>
        <w:trPr>
          <w:gridAfter w:val="1"/>
          <w:wAfter w:w="30" w:type="dxa"/>
          <w:trHeight w:val="176" w:hRule="atLeast"/>
          <w:jc w:val="center"/>
        </w:trPr>
        <w:tc>
          <w:tcPr>
            <w:tcW w:w="8707" w:type="dxa"/>
            <w:gridSpan w:val="9"/>
            <w:tcBorders>
              <w:top w:val="nil"/>
              <w:left w:val="nil"/>
              <w:bottom w:val="single" w:color="339966" w:sz="12" w:space="0"/>
              <w:right w:val="nil"/>
            </w:tcBorders>
            <w:vAlign w:val="bottom"/>
          </w:tcPr>
          <w:p>
            <w:pPr>
              <w:widowControl/>
              <w:jc w:val="right"/>
              <w:rPr>
                <w:kern w:val="0"/>
                <w:sz w:val="18"/>
                <w:szCs w:val="18"/>
              </w:rPr>
            </w:pPr>
            <w:r>
              <w:rPr>
                <w:kern w:val="0"/>
                <w:sz w:val="18"/>
                <w:szCs w:val="18"/>
              </w:rPr>
              <w:t>Unit: %</w:t>
            </w:r>
          </w:p>
        </w:tc>
      </w:tr>
      <w:tr>
        <w:tblPrEx>
          <w:tblLayout w:type="fixed"/>
          <w:tblCellMar>
            <w:top w:w="0" w:type="dxa"/>
            <w:left w:w="0" w:type="dxa"/>
            <w:bottom w:w="0" w:type="dxa"/>
            <w:right w:w="0" w:type="dxa"/>
          </w:tblCellMar>
        </w:tblPrEx>
        <w:trPr>
          <w:cantSplit/>
          <w:trHeight w:val="300" w:hRule="atLeast"/>
          <w:jc w:val="center"/>
        </w:trPr>
        <w:tc>
          <w:tcPr>
            <w:tcW w:w="915" w:type="dxa"/>
            <w:vMerge w:val="restart"/>
            <w:tcBorders>
              <w:top w:val="single" w:color="339966" w:sz="12" w:space="0"/>
              <w:left w:val="nil"/>
              <w:bottom w:val="single" w:color="339966" w:sz="12" w:space="0"/>
              <w:right w:val="single" w:color="339966" w:sz="4" w:space="0"/>
            </w:tcBorders>
            <w:shd w:val="clear" w:color="auto" w:fill="CCFFCC"/>
            <w:tcMar>
              <w:top w:w="15" w:type="dxa"/>
              <w:left w:w="15" w:type="dxa"/>
              <w:bottom w:w="0" w:type="dxa"/>
              <w:right w:w="15" w:type="dxa"/>
            </w:tcMar>
            <w:vAlign w:val="center"/>
          </w:tcPr>
          <w:p>
            <w:pPr>
              <w:jc w:val="center"/>
              <w:rPr>
                <w:sz w:val="18"/>
                <w:szCs w:val="18"/>
              </w:rPr>
            </w:pPr>
            <w:r>
              <w:rPr>
                <w:sz w:val="18"/>
                <w:szCs w:val="18"/>
              </w:rPr>
              <w:t>Month</w:t>
            </w:r>
          </w:p>
        </w:tc>
        <w:tc>
          <w:tcPr>
            <w:tcW w:w="1144" w:type="dxa"/>
            <w:vMerge w:val="restart"/>
            <w:tcBorders>
              <w:top w:val="single" w:color="339966" w:sz="12" w:space="0"/>
              <w:left w:val="nil"/>
              <w:right w:val="nil"/>
            </w:tcBorders>
            <w:shd w:val="clear" w:color="auto" w:fill="CCFFCC"/>
            <w:tcMar>
              <w:top w:w="15" w:type="dxa"/>
              <w:left w:w="15" w:type="dxa"/>
              <w:bottom w:w="0" w:type="dxa"/>
              <w:right w:w="15" w:type="dxa"/>
            </w:tcMar>
            <w:vAlign w:val="center"/>
          </w:tcPr>
          <w:p>
            <w:pPr>
              <w:jc w:val="center"/>
              <w:rPr>
                <w:color w:val="000000"/>
                <w:sz w:val="18"/>
                <w:szCs w:val="18"/>
              </w:rPr>
            </w:pPr>
            <w:r>
              <w:rPr>
                <w:color w:val="000000"/>
                <w:sz w:val="18"/>
                <w:szCs w:val="18"/>
              </w:rPr>
              <w:t>Lower than the benchmark</w:t>
            </w:r>
          </w:p>
        </w:tc>
        <w:tc>
          <w:tcPr>
            <w:tcW w:w="719" w:type="dxa"/>
            <w:vMerge w:val="restart"/>
            <w:tcBorders>
              <w:top w:val="single" w:color="339966" w:sz="12" w:space="0"/>
              <w:left w:val="single" w:color="339966" w:sz="4" w:space="0"/>
              <w:right w:val="single" w:color="339966" w:sz="4" w:space="0"/>
            </w:tcBorders>
            <w:shd w:val="clear" w:color="auto" w:fill="CCFFCC"/>
            <w:tcMar>
              <w:top w:w="15" w:type="dxa"/>
              <w:left w:w="15" w:type="dxa"/>
              <w:bottom w:w="0" w:type="dxa"/>
              <w:right w:w="15" w:type="dxa"/>
            </w:tcMar>
            <w:vAlign w:val="center"/>
          </w:tcPr>
          <w:p>
            <w:pPr>
              <w:jc w:val="left"/>
              <w:rPr>
                <w:color w:val="000000"/>
                <w:sz w:val="18"/>
                <w:szCs w:val="18"/>
              </w:rPr>
            </w:pPr>
            <w:r>
              <w:rPr>
                <w:color w:val="000000"/>
                <w:sz w:val="18"/>
                <w:szCs w:val="18"/>
              </w:rPr>
              <w:t xml:space="preserve">At the benchmark </w:t>
            </w:r>
          </w:p>
        </w:tc>
        <w:tc>
          <w:tcPr>
            <w:tcW w:w="5959" w:type="dxa"/>
            <w:gridSpan w:val="7"/>
            <w:tcBorders>
              <w:top w:val="single" w:color="339966" w:sz="12" w:space="0"/>
              <w:left w:val="nil"/>
              <w:bottom w:val="single" w:color="339966" w:sz="4" w:space="0"/>
              <w:right w:val="nil"/>
            </w:tcBorders>
            <w:shd w:val="clear" w:color="auto" w:fill="CCFFCC"/>
            <w:tcMar>
              <w:top w:w="15" w:type="dxa"/>
              <w:left w:w="15" w:type="dxa"/>
              <w:bottom w:w="0" w:type="dxa"/>
              <w:right w:w="15" w:type="dxa"/>
            </w:tcMar>
            <w:vAlign w:val="center"/>
          </w:tcPr>
          <w:p>
            <w:pPr>
              <w:jc w:val="left"/>
              <w:rPr>
                <w:color w:val="000000"/>
                <w:sz w:val="18"/>
                <w:szCs w:val="18"/>
              </w:rPr>
            </w:pPr>
            <w:r>
              <w:rPr>
                <w:color w:val="000000"/>
                <w:sz w:val="18"/>
                <w:szCs w:val="18"/>
              </w:rPr>
              <w:t>Higher than the benchmark</w:t>
            </w:r>
          </w:p>
        </w:tc>
      </w:tr>
      <w:tr>
        <w:tblPrEx>
          <w:tblLayout w:type="fixed"/>
          <w:tblCellMar>
            <w:top w:w="0" w:type="dxa"/>
            <w:left w:w="0" w:type="dxa"/>
            <w:bottom w:w="0" w:type="dxa"/>
            <w:right w:w="0" w:type="dxa"/>
          </w:tblCellMar>
        </w:tblPrEx>
        <w:trPr>
          <w:cantSplit/>
          <w:trHeight w:val="359" w:hRule="atLeast"/>
          <w:jc w:val="center"/>
        </w:trPr>
        <w:tc>
          <w:tcPr>
            <w:tcW w:w="915" w:type="dxa"/>
            <w:vMerge w:val="continue"/>
            <w:tcBorders>
              <w:top w:val="single" w:color="339966" w:sz="12" w:space="0"/>
              <w:left w:val="nil"/>
              <w:right w:val="single" w:color="339966" w:sz="4" w:space="0"/>
            </w:tcBorders>
            <w:shd w:val="clear" w:color="auto" w:fill="auto"/>
            <w:vAlign w:val="center"/>
          </w:tcPr>
          <w:p>
            <w:pPr>
              <w:widowControl/>
              <w:jc w:val="left"/>
              <w:rPr>
                <w:sz w:val="18"/>
                <w:szCs w:val="18"/>
              </w:rPr>
            </w:pPr>
          </w:p>
        </w:tc>
        <w:tc>
          <w:tcPr>
            <w:tcW w:w="1144" w:type="dxa"/>
            <w:vMerge w:val="continue"/>
            <w:tcBorders>
              <w:left w:val="nil"/>
              <w:right w:val="nil"/>
            </w:tcBorders>
            <w:shd w:val="clear" w:color="auto" w:fill="CCFFCC"/>
            <w:tcMar>
              <w:top w:w="15" w:type="dxa"/>
              <w:left w:w="15" w:type="dxa"/>
              <w:bottom w:w="0" w:type="dxa"/>
              <w:right w:w="15" w:type="dxa"/>
            </w:tcMar>
            <w:vAlign w:val="center"/>
          </w:tcPr>
          <w:p>
            <w:pPr>
              <w:jc w:val="left"/>
              <w:rPr>
                <w:sz w:val="18"/>
                <w:szCs w:val="18"/>
              </w:rPr>
            </w:pPr>
          </w:p>
        </w:tc>
        <w:tc>
          <w:tcPr>
            <w:tcW w:w="719" w:type="dxa"/>
            <w:vMerge w:val="continue"/>
            <w:tcBorders>
              <w:left w:val="single" w:color="339966" w:sz="4" w:space="0"/>
              <w:right w:val="single" w:color="339966" w:sz="4" w:space="0"/>
            </w:tcBorders>
            <w:shd w:val="clear" w:color="auto" w:fill="CCFFCC"/>
            <w:tcMar>
              <w:top w:w="15" w:type="dxa"/>
              <w:left w:w="15" w:type="dxa"/>
              <w:bottom w:w="0" w:type="dxa"/>
              <w:right w:w="15" w:type="dxa"/>
            </w:tcMar>
            <w:vAlign w:val="center"/>
          </w:tcPr>
          <w:p>
            <w:pPr>
              <w:jc w:val="left"/>
              <w:rPr>
                <w:sz w:val="18"/>
                <w:szCs w:val="18"/>
              </w:rPr>
            </w:pPr>
          </w:p>
        </w:tc>
        <w:tc>
          <w:tcPr>
            <w:tcW w:w="746" w:type="dxa"/>
            <w:tcBorders>
              <w:top w:val="nil"/>
              <w:left w:val="nil"/>
              <w:right w:val="single" w:color="339966" w:sz="4" w:space="0"/>
            </w:tcBorders>
            <w:shd w:val="clear" w:color="auto" w:fill="CCFFCC"/>
            <w:tcMar>
              <w:top w:w="15" w:type="dxa"/>
              <w:left w:w="15" w:type="dxa"/>
              <w:bottom w:w="0" w:type="dxa"/>
              <w:right w:w="15" w:type="dxa"/>
            </w:tcMar>
            <w:vAlign w:val="center"/>
          </w:tcPr>
          <w:p>
            <w:pPr>
              <w:jc w:val="center"/>
              <w:rPr>
                <w:sz w:val="18"/>
                <w:szCs w:val="18"/>
              </w:rPr>
            </w:pPr>
            <w:r>
              <w:rPr>
                <w:sz w:val="18"/>
                <w:szCs w:val="18"/>
              </w:rPr>
              <w:t>Sub-total</w:t>
            </w:r>
          </w:p>
        </w:tc>
        <w:tc>
          <w:tcPr>
            <w:tcW w:w="992" w:type="dxa"/>
            <w:tcBorders>
              <w:top w:val="nil"/>
              <w:left w:val="nil"/>
              <w:right w:val="single" w:color="339966" w:sz="4" w:space="0"/>
            </w:tcBorders>
            <w:shd w:val="clear" w:color="auto" w:fill="CCFFCC"/>
            <w:tcMar>
              <w:top w:w="15" w:type="dxa"/>
              <w:left w:w="15" w:type="dxa"/>
              <w:bottom w:w="0" w:type="dxa"/>
              <w:right w:w="15" w:type="dxa"/>
            </w:tcMar>
            <w:vAlign w:val="center"/>
          </w:tcPr>
          <w:p>
            <w:pPr>
              <w:widowControl/>
              <w:jc w:val="center"/>
              <w:rPr>
                <w:sz w:val="18"/>
                <w:szCs w:val="18"/>
              </w:rPr>
            </w:pPr>
            <w:r>
              <w:rPr>
                <w:color w:val="000000"/>
                <w:sz w:val="18"/>
                <w:szCs w:val="18"/>
              </w:rPr>
              <w:t>(1，1.1］</w:t>
            </w:r>
          </w:p>
        </w:tc>
        <w:tc>
          <w:tcPr>
            <w:tcW w:w="999" w:type="dxa"/>
            <w:tcBorders>
              <w:top w:val="nil"/>
              <w:left w:val="nil"/>
              <w:right w:val="single" w:color="339966" w:sz="4" w:space="0"/>
            </w:tcBorders>
            <w:shd w:val="clear" w:color="auto" w:fill="CCFFCC"/>
            <w:tcMar>
              <w:top w:w="15" w:type="dxa"/>
              <w:left w:w="15" w:type="dxa"/>
              <w:bottom w:w="0" w:type="dxa"/>
              <w:right w:w="15" w:type="dxa"/>
            </w:tcMar>
            <w:vAlign w:val="center"/>
          </w:tcPr>
          <w:p>
            <w:pPr>
              <w:jc w:val="center"/>
              <w:rPr>
                <w:color w:val="000000"/>
                <w:sz w:val="18"/>
                <w:szCs w:val="18"/>
              </w:rPr>
            </w:pPr>
            <w:r>
              <w:rPr>
                <w:color w:val="000000"/>
                <w:sz w:val="18"/>
                <w:szCs w:val="18"/>
              </w:rPr>
              <w:t>(1.1，1.3］</w:t>
            </w:r>
          </w:p>
        </w:tc>
        <w:tc>
          <w:tcPr>
            <w:tcW w:w="1075" w:type="dxa"/>
            <w:tcBorders>
              <w:top w:val="nil"/>
              <w:left w:val="nil"/>
              <w:right w:val="single" w:color="339966" w:sz="4" w:space="0"/>
            </w:tcBorders>
            <w:shd w:val="clear" w:color="auto" w:fill="CCFFCC"/>
            <w:tcMar>
              <w:top w:w="15" w:type="dxa"/>
              <w:left w:w="15" w:type="dxa"/>
              <w:bottom w:w="0" w:type="dxa"/>
              <w:right w:w="15" w:type="dxa"/>
            </w:tcMar>
            <w:vAlign w:val="center"/>
          </w:tcPr>
          <w:p>
            <w:pPr>
              <w:jc w:val="center"/>
              <w:rPr>
                <w:color w:val="000000"/>
                <w:sz w:val="18"/>
                <w:szCs w:val="18"/>
              </w:rPr>
            </w:pPr>
            <w:r>
              <w:rPr>
                <w:color w:val="000000"/>
                <w:sz w:val="18"/>
                <w:szCs w:val="18"/>
              </w:rPr>
              <w:t>（1.3，1.5]</w:t>
            </w:r>
          </w:p>
        </w:tc>
        <w:tc>
          <w:tcPr>
            <w:tcW w:w="1246" w:type="dxa"/>
            <w:tcBorders>
              <w:top w:val="nil"/>
              <w:left w:val="nil"/>
              <w:right w:val="single" w:color="339966" w:sz="4" w:space="0"/>
            </w:tcBorders>
            <w:shd w:val="clear" w:color="auto" w:fill="CCFFCC"/>
            <w:tcMar>
              <w:top w:w="15" w:type="dxa"/>
              <w:left w:w="15" w:type="dxa"/>
              <w:bottom w:w="0" w:type="dxa"/>
              <w:right w:w="15" w:type="dxa"/>
            </w:tcMar>
            <w:vAlign w:val="center"/>
          </w:tcPr>
          <w:p>
            <w:pPr>
              <w:jc w:val="center"/>
              <w:rPr>
                <w:color w:val="000000"/>
                <w:sz w:val="18"/>
                <w:szCs w:val="18"/>
              </w:rPr>
            </w:pPr>
            <w:r>
              <w:rPr>
                <w:color w:val="000000"/>
                <w:sz w:val="18"/>
                <w:szCs w:val="18"/>
              </w:rPr>
              <w:t>（1.5，2.0]</w:t>
            </w:r>
          </w:p>
        </w:tc>
        <w:tc>
          <w:tcPr>
            <w:tcW w:w="901" w:type="dxa"/>
            <w:gridSpan w:val="2"/>
            <w:tcBorders>
              <w:top w:val="nil"/>
              <w:left w:val="nil"/>
              <w:right w:val="nil"/>
            </w:tcBorders>
            <w:shd w:val="clear" w:color="auto" w:fill="CCFFCC"/>
            <w:tcMar>
              <w:top w:w="15" w:type="dxa"/>
              <w:left w:w="15" w:type="dxa"/>
              <w:bottom w:w="0" w:type="dxa"/>
              <w:right w:w="15" w:type="dxa"/>
            </w:tcMar>
            <w:vAlign w:val="center"/>
          </w:tcPr>
          <w:p>
            <w:pPr>
              <w:widowControl/>
              <w:jc w:val="center"/>
              <w:rPr>
                <w:sz w:val="18"/>
                <w:szCs w:val="18"/>
              </w:rPr>
            </w:pPr>
            <w:r>
              <w:rPr>
                <w:sz w:val="18"/>
                <w:szCs w:val="18"/>
              </w:rPr>
              <w:t>Higher than 2.0</w:t>
            </w:r>
          </w:p>
        </w:tc>
      </w:tr>
      <w:tr>
        <w:tblPrEx>
          <w:tblLayout w:type="fixed"/>
          <w:tblCellMar>
            <w:top w:w="0" w:type="dxa"/>
            <w:left w:w="0" w:type="dxa"/>
            <w:bottom w:w="0" w:type="dxa"/>
            <w:right w:w="0" w:type="dxa"/>
          </w:tblCellMar>
        </w:tblPrEx>
        <w:trPr>
          <w:trHeight w:val="285" w:hRule="atLeast"/>
          <w:jc w:val="center"/>
        </w:trPr>
        <w:tc>
          <w:tcPr>
            <w:tcW w:w="915" w:type="dxa"/>
            <w:tcBorders>
              <w:left w:val="nil"/>
              <w:right w:val="single" w:color="339966" w:sz="4" w:space="0"/>
            </w:tcBorders>
            <w:tcMar>
              <w:top w:w="15" w:type="dxa"/>
              <w:left w:w="15" w:type="dxa"/>
              <w:bottom w:w="0" w:type="dxa"/>
              <w:right w:w="15" w:type="dxa"/>
            </w:tcMar>
            <w:vAlign w:val="center"/>
          </w:tcPr>
          <w:p>
            <w:pPr>
              <w:jc w:val="center"/>
              <w:rPr>
                <w:sz w:val="18"/>
                <w:szCs w:val="18"/>
              </w:rPr>
            </w:pPr>
            <w:r>
              <w:rPr>
                <w:sz w:val="18"/>
                <w:szCs w:val="18"/>
              </w:rPr>
              <w:t>January</w:t>
            </w:r>
          </w:p>
        </w:tc>
        <w:tc>
          <w:tcPr>
            <w:tcW w:w="1144" w:type="dxa"/>
            <w:tcBorders>
              <w:left w:val="single" w:color="339966" w:sz="4" w:space="0"/>
              <w:right w:val="single" w:color="339966" w:sz="4" w:space="0"/>
            </w:tcBorders>
            <w:tcMar>
              <w:top w:w="15" w:type="dxa"/>
              <w:left w:w="15" w:type="dxa"/>
              <w:bottom w:w="0" w:type="dxa"/>
              <w:right w:w="15" w:type="dxa"/>
            </w:tcMar>
          </w:tcPr>
          <w:p>
            <w:pPr>
              <w:jc w:val="center"/>
            </w:pPr>
            <w:r>
              <w:t>11.89</w:t>
            </w:r>
          </w:p>
        </w:tc>
        <w:tc>
          <w:tcPr>
            <w:tcW w:w="719" w:type="dxa"/>
            <w:tcBorders>
              <w:left w:val="single" w:color="339966" w:sz="4" w:space="0"/>
              <w:right w:val="single" w:color="339966" w:sz="4" w:space="0"/>
            </w:tcBorders>
            <w:tcMar>
              <w:top w:w="15" w:type="dxa"/>
              <w:left w:w="15" w:type="dxa"/>
              <w:bottom w:w="0" w:type="dxa"/>
              <w:right w:w="15" w:type="dxa"/>
            </w:tcMar>
          </w:tcPr>
          <w:p>
            <w:pPr>
              <w:jc w:val="center"/>
            </w:pPr>
            <w:r>
              <w:t>20.31</w:t>
            </w:r>
          </w:p>
        </w:tc>
        <w:tc>
          <w:tcPr>
            <w:tcW w:w="746" w:type="dxa"/>
            <w:tcBorders>
              <w:left w:val="single" w:color="339966" w:sz="4" w:space="0"/>
              <w:right w:val="single" w:color="339966" w:sz="4" w:space="0"/>
            </w:tcBorders>
            <w:tcMar>
              <w:top w:w="15" w:type="dxa"/>
              <w:left w:w="15" w:type="dxa"/>
              <w:bottom w:w="0" w:type="dxa"/>
              <w:right w:w="15" w:type="dxa"/>
            </w:tcMar>
          </w:tcPr>
          <w:p>
            <w:pPr>
              <w:jc w:val="center"/>
            </w:pPr>
            <w:r>
              <w:t>67.80</w:t>
            </w:r>
          </w:p>
        </w:tc>
        <w:tc>
          <w:tcPr>
            <w:tcW w:w="992" w:type="dxa"/>
            <w:tcBorders>
              <w:left w:val="single" w:color="339966" w:sz="4" w:space="0"/>
              <w:right w:val="single" w:color="339966" w:sz="4" w:space="0"/>
            </w:tcBorders>
            <w:tcMar>
              <w:top w:w="15" w:type="dxa"/>
              <w:left w:w="15" w:type="dxa"/>
              <w:bottom w:w="0" w:type="dxa"/>
              <w:right w:w="15" w:type="dxa"/>
            </w:tcMar>
          </w:tcPr>
          <w:p>
            <w:pPr>
              <w:jc w:val="center"/>
            </w:pPr>
            <w:r>
              <w:t>16.45</w:t>
            </w:r>
          </w:p>
        </w:tc>
        <w:tc>
          <w:tcPr>
            <w:tcW w:w="999" w:type="dxa"/>
            <w:tcBorders>
              <w:left w:val="single" w:color="339966" w:sz="4" w:space="0"/>
              <w:right w:val="single" w:color="339966" w:sz="4" w:space="0"/>
            </w:tcBorders>
            <w:tcMar>
              <w:top w:w="15" w:type="dxa"/>
              <w:left w:w="15" w:type="dxa"/>
              <w:bottom w:w="0" w:type="dxa"/>
              <w:right w:w="15" w:type="dxa"/>
            </w:tcMar>
          </w:tcPr>
          <w:p>
            <w:pPr>
              <w:jc w:val="center"/>
            </w:pPr>
            <w:r>
              <w:t>19.67</w:t>
            </w:r>
          </w:p>
        </w:tc>
        <w:tc>
          <w:tcPr>
            <w:tcW w:w="1075" w:type="dxa"/>
            <w:tcBorders>
              <w:left w:val="single" w:color="339966" w:sz="4" w:space="0"/>
              <w:right w:val="single" w:color="339966" w:sz="4" w:space="0"/>
            </w:tcBorders>
            <w:tcMar>
              <w:top w:w="15" w:type="dxa"/>
              <w:left w:w="15" w:type="dxa"/>
              <w:bottom w:w="0" w:type="dxa"/>
              <w:right w:w="15" w:type="dxa"/>
            </w:tcMar>
          </w:tcPr>
          <w:p>
            <w:pPr>
              <w:jc w:val="center"/>
            </w:pPr>
            <w:r>
              <w:t>12.32</w:t>
            </w:r>
          </w:p>
        </w:tc>
        <w:tc>
          <w:tcPr>
            <w:tcW w:w="1246" w:type="dxa"/>
            <w:tcBorders>
              <w:left w:val="single" w:color="339966" w:sz="4" w:space="0"/>
              <w:right w:val="single" w:color="339966" w:sz="4" w:space="0"/>
            </w:tcBorders>
            <w:tcMar>
              <w:top w:w="15" w:type="dxa"/>
              <w:left w:w="15" w:type="dxa"/>
              <w:bottom w:w="0" w:type="dxa"/>
              <w:right w:w="15" w:type="dxa"/>
            </w:tcMar>
          </w:tcPr>
          <w:p>
            <w:pPr>
              <w:jc w:val="center"/>
            </w:pPr>
            <w:r>
              <w:t>12.11</w:t>
            </w:r>
          </w:p>
        </w:tc>
        <w:tc>
          <w:tcPr>
            <w:tcW w:w="901" w:type="dxa"/>
            <w:gridSpan w:val="2"/>
            <w:tcBorders>
              <w:left w:val="single" w:color="339966" w:sz="4" w:space="0"/>
              <w:right w:val="nil"/>
            </w:tcBorders>
            <w:tcMar>
              <w:top w:w="15" w:type="dxa"/>
              <w:left w:w="15" w:type="dxa"/>
              <w:bottom w:w="0" w:type="dxa"/>
              <w:right w:w="15" w:type="dxa"/>
            </w:tcMar>
          </w:tcPr>
          <w:p>
            <w:pPr>
              <w:jc w:val="center"/>
            </w:pPr>
            <w:r>
              <w:t>7.26</w:t>
            </w:r>
          </w:p>
        </w:tc>
      </w:tr>
      <w:tr>
        <w:tblPrEx>
          <w:tblLayout w:type="fixed"/>
          <w:tblCellMar>
            <w:top w:w="0" w:type="dxa"/>
            <w:left w:w="0" w:type="dxa"/>
            <w:bottom w:w="0" w:type="dxa"/>
            <w:right w:w="0" w:type="dxa"/>
          </w:tblCellMar>
        </w:tblPrEx>
        <w:trPr>
          <w:trHeight w:val="285" w:hRule="atLeast"/>
          <w:jc w:val="center"/>
        </w:trPr>
        <w:tc>
          <w:tcPr>
            <w:tcW w:w="915" w:type="dxa"/>
            <w:tcBorders>
              <w:left w:val="nil"/>
              <w:right w:val="single" w:color="339966" w:sz="4" w:space="0"/>
            </w:tcBorders>
            <w:shd w:val="clear" w:color="auto" w:fill="CCFFCC"/>
            <w:tcMar>
              <w:top w:w="15" w:type="dxa"/>
              <w:left w:w="15" w:type="dxa"/>
              <w:bottom w:w="0" w:type="dxa"/>
              <w:right w:w="15" w:type="dxa"/>
            </w:tcMar>
            <w:vAlign w:val="center"/>
          </w:tcPr>
          <w:p>
            <w:pPr>
              <w:jc w:val="center"/>
              <w:rPr>
                <w:sz w:val="18"/>
                <w:szCs w:val="18"/>
              </w:rPr>
            </w:pPr>
            <w:r>
              <w:rPr>
                <w:sz w:val="18"/>
                <w:szCs w:val="18"/>
              </w:rPr>
              <w:t>February</w:t>
            </w:r>
          </w:p>
        </w:tc>
        <w:tc>
          <w:tcPr>
            <w:tcW w:w="1144"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12.50</w:t>
            </w:r>
          </w:p>
        </w:tc>
        <w:tc>
          <w:tcPr>
            <w:tcW w:w="719"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18.83</w:t>
            </w:r>
          </w:p>
        </w:tc>
        <w:tc>
          <w:tcPr>
            <w:tcW w:w="746"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68.67</w:t>
            </w:r>
          </w:p>
        </w:tc>
        <w:tc>
          <w:tcPr>
            <w:tcW w:w="992"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15.98</w:t>
            </w:r>
          </w:p>
        </w:tc>
        <w:tc>
          <w:tcPr>
            <w:tcW w:w="999"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18.66</w:t>
            </w:r>
          </w:p>
        </w:tc>
        <w:tc>
          <w:tcPr>
            <w:tcW w:w="1075"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12.88</w:t>
            </w:r>
          </w:p>
        </w:tc>
        <w:tc>
          <w:tcPr>
            <w:tcW w:w="1246" w:type="dxa"/>
            <w:tcBorders>
              <w:left w:val="single" w:color="339966" w:sz="4" w:space="0"/>
              <w:right w:val="single" w:color="339966" w:sz="4" w:space="0"/>
            </w:tcBorders>
            <w:shd w:val="clear" w:color="auto" w:fill="CCFFCC"/>
            <w:tcMar>
              <w:top w:w="15" w:type="dxa"/>
              <w:left w:w="15" w:type="dxa"/>
              <w:bottom w:w="0" w:type="dxa"/>
              <w:right w:w="15" w:type="dxa"/>
            </w:tcMar>
          </w:tcPr>
          <w:p>
            <w:pPr>
              <w:jc w:val="center"/>
            </w:pPr>
            <w:r>
              <w:t>12.65</w:t>
            </w:r>
          </w:p>
        </w:tc>
        <w:tc>
          <w:tcPr>
            <w:tcW w:w="901" w:type="dxa"/>
            <w:gridSpan w:val="2"/>
            <w:tcBorders>
              <w:left w:val="single" w:color="339966" w:sz="4" w:space="0"/>
              <w:right w:val="nil"/>
            </w:tcBorders>
            <w:shd w:val="clear" w:color="auto" w:fill="CCFFCC"/>
            <w:tcMar>
              <w:top w:w="15" w:type="dxa"/>
              <w:left w:w="15" w:type="dxa"/>
              <w:bottom w:w="0" w:type="dxa"/>
              <w:right w:w="15" w:type="dxa"/>
            </w:tcMar>
          </w:tcPr>
          <w:p>
            <w:pPr>
              <w:jc w:val="center"/>
            </w:pPr>
            <w:r>
              <w:t>8.50</w:t>
            </w:r>
          </w:p>
        </w:tc>
      </w:tr>
      <w:tr>
        <w:tblPrEx>
          <w:tblLayout w:type="fixed"/>
          <w:tblCellMar>
            <w:top w:w="0" w:type="dxa"/>
            <w:left w:w="0" w:type="dxa"/>
            <w:bottom w:w="0" w:type="dxa"/>
            <w:right w:w="0" w:type="dxa"/>
          </w:tblCellMar>
        </w:tblPrEx>
        <w:trPr>
          <w:trHeight w:val="285" w:hRule="atLeast"/>
          <w:jc w:val="center"/>
        </w:trPr>
        <w:tc>
          <w:tcPr>
            <w:tcW w:w="915" w:type="dxa"/>
            <w:tcBorders>
              <w:left w:val="nil"/>
              <w:bottom w:val="single" w:color="339966" w:sz="4" w:space="0"/>
              <w:right w:val="single" w:color="339966" w:sz="4" w:space="0"/>
            </w:tcBorders>
            <w:shd w:val="clear" w:color="auto" w:fill="FFFFFF" w:themeFill="background1"/>
            <w:tcMar>
              <w:top w:w="15" w:type="dxa"/>
              <w:left w:w="15" w:type="dxa"/>
              <w:bottom w:w="0" w:type="dxa"/>
              <w:right w:w="15" w:type="dxa"/>
            </w:tcMar>
            <w:vAlign w:val="center"/>
          </w:tcPr>
          <w:p>
            <w:pPr>
              <w:jc w:val="center"/>
              <w:rPr>
                <w:sz w:val="18"/>
                <w:szCs w:val="18"/>
              </w:rPr>
            </w:pPr>
            <w:r>
              <w:rPr>
                <w:rFonts w:hint="eastAsia"/>
                <w:sz w:val="18"/>
                <w:szCs w:val="18"/>
              </w:rPr>
              <w:t>March</w:t>
            </w:r>
          </w:p>
        </w:tc>
        <w:tc>
          <w:tcPr>
            <w:tcW w:w="1144"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9.61</w:t>
            </w:r>
          </w:p>
        </w:tc>
        <w:tc>
          <w:tcPr>
            <w:tcW w:w="719"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16.04</w:t>
            </w:r>
          </w:p>
        </w:tc>
        <w:tc>
          <w:tcPr>
            <w:tcW w:w="746"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74.35</w:t>
            </w:r>
          </w:p>
        </w:tc>
        <w:tc>
          <w:tcPr>
            <w:tcW w:w="992"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15.86</w:t>
            </w:r>
          </w:p>
        </w:tc>
        <w:tc>
          <w:tcPr>
            <w:tcW w:w="999"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21.29</w:t>
            </w:r>
          </w:p>
        </w:tc>
        <w:tc>
          <w:tcPr>
            <w:tcW w:w="1075"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14.00</w:t>
            </w:r>
          </w:p>
        </w:tc>
        <w:tc>
          <w:tcPr>
            <w:tcW w:w="1246" w:type="dxa"/>
            <w:tcBorders>
              <w:left w:val="single" w:color="339966" w:sz="4" w:space="0"/>
              <w:bottom w:val="single" w:color="339966" w:sz="4" w:space="0"/>
              <w:right w:val="single" w:color="339966" w:sz="4" w:space="0"/>
            </w:tcBorders>
            <w:shd w:val="clear" w:color="auto" w:fill="FFFFFF" w:themeFill="background1"/>
            <w:tcMar>
              <w:top w:w="15" w:type="dxa"/>
              <w:left w:w="15" w:type="dxa"/>
              <w:bottom w:w="0" w:type="dxa"/>
              <w:right w:w="15" w:type="dxa"/>
            </w:tcMar>
          </w:tcPr>
          <w:p>
            <w:pPr>
              <w:jc w:val="center"/>
            </w:pPr>
            <w:r>
              <w:t>14.53</w:t>
            </w:r>
          </w:p>
        </w:tc>
        <w:tc>
          <w:tcPr>
            <w:tcW w:w="901" w:type="dxa"/>
            <w:gridSpan w:val="2"/>
            <w:tcBorders>
              <w:left w:val="single" w:color="339966" w:sz="4" w:space="0"/>
              <w:bottom w:val="single" w:color="339966" w:sz="4" w:space="0"/>
              <w:right w:val="nil"/>
            </w:tcBorders>
            <w:shd w:val="clear" w:color="auto" w:fill="FFFFFF" w:themeFill="background1"/>
            <w:tcMar>
              <w:top w:w="15" w:type="dxa"/>
              <w:left w:w="15" w:type="dxa"/>
              <w:bottom w:w="0" w:type="dxa"/>
              <w:right w:w="15" w:type="dxa"/>
            </w:tcMar>
          </w:tcPr>
          <w:p>
            <w:pPr>
              <w:jc w:val="center"/>
            </w:pPr>
            <w:r>
              <w:t>8.68</w:t>
            </w:r>
          </w:p>
        </w:tc>
      </w:tr>
    </w:tbl>
    <w:p>
      <w:pPr>
        <w:rPr>
          <w:rFonts w:eastAsia="楷体_GB2312"/>
          <w:sz w:val="24"/>
        </w:rPr>
      </w:pPr>
      <w:r>
        <w:rPr>
          <w:rFonts w:eastAsia="楷体_GB2312"/>
          <w:sz w:val="24"/>
        </w:rPr>
        <w:t>Source: People’s Bank of China.</w:t>
      </w:r>
    </w:p>
    <w:p>
      <w:pPr>
        <w:widowControl/>
        <w:ind w:firstLine="420" w:firstLineChars="150"/>
        <w:rPr>
          <w:rFonts w:ascii="仿宋_GB2312" w:eastAsia="仿宋_GB2312" w:cs="仿宋_GB2312"/>
          <w:sz w:val="28"/>
          <w:szCs w:val="28"/>
        </w:rPr>
      </w:pPr>
    </w:p>
    <w:p>
      <w:pPr>
        <w:widowControl/>
        <w:spacing w:line="440" w:lineRule="exact"/>
        <w:rPr>
          <w:rFonts w:ascii="仿宋_GB2312" w:eastAsia="仿宋_GB2312" w:cs="仿宋_GB2312"/>
          <w:sz w:val="28"/>
          <w:szCs w:val="28"/>
        </w:rPr>
      </w:pPr>
      <w:bookmarkStart w:id="42" w:name="_Hlt206573772"/>
      <w:bookmarkEnd w:id="42"/>
      <w:bookmarkStart w:id="43" w:name="_Toc330479979"/>
      <w:bookmarkStart w:id="44" w:name="_Toc253562996"/>
      <w:bookmarkStart w:id="45" w:name="_Toc370315575"/>
      <w:bookmarkStart w:id="46" w:name="_Toc512436309"/>
      <w:r>
        <w:rPr>
          <w:rFonts w:eastAsia="仿宋_GB2312"/>
          <w:b/>
          <w:sz w:val="24"/>
        </w:rPr>
        <w:t xml:space="preserve">Against the background of interest-rate fluctuations in international financial markets and changes in the supply and demand of foreign currencies in the domestic market, the interest rates for foreign-currency deposits and loans </w:t>
      </w:r>
      <w:r>
        <w:rPr>
          <w:rFonts w:hint="eastAsia" w:eastAsia="仿宋_GB2312"/>
          <w:b/>
          <w:sz w:val="24"/>
        </w:rPr>
        <w:t>went up</w:t>
      </w:r>
      <w:r>
        <w:rPr>
          <w:rFonts w:eastAsia="仿宋_GB2312"/>
          <w:b/>
          <w:sz w:val="24"/>
        </w:rPr>
        <w:t>.</w:t>
      </w:r>
      <w:r>
        <w:rPr>
          <w:rFonts w:eastAsia="仿宋_GB2312"/>
          <w:sz w:val="24"/>
        </w:rPr>
        <w:t xml:space="preserve"> In </w:t>
      </w:r>
      <w:r>
        <w:rPr>
          <w:rFonts w:hint="eastAsia" w:eastAsia="仿宋_GB2312"/>
          <w:sz w:val="24"/>
        </w:rPr>
        <w:t>March</w:t>
      </w:r>
      <w:r>
        <w:rPr>
          <w:rFonts w:eastAsia="仿宋_GB2312"/>
          <w:sz w:val="24"/>
        </w:rPr>
        <w:t>, the weighted average interest rates</w:t>
      </w:r>
      <w:r>
        <w:rPr>
          <w:rFonts w:hint="eastAsia" w:eastAsia="仿宋_GB2312"/>
          <w:sz w:val="24"/>
        </w:rPr>
        <w:t xml:space="preserve"> </w:t>
      </w:r>
      <w:r>
        <w:rPr>
          <w:rFonts w:eastAsia="仿宋_GB2312"/>
          <w:sz w:val="24"/>
        </w:rPr>
        <w:t xml:space="preserve">for large-value USD demand deposits </w:t>
      </w:r>
      <w:r>
        <w:rPr>
          <w:rFonts w:hint="eastAsia" w:eastAsia="仿宋_GB2312"/>
          <w:sz w:val="24"/>
        </w:rPr>
        <w:t xml:space="preserve">and </w:t>
      </w:r>
      <w:r>
        <w:rPr>
          <w:rFonts w:eastAsia="仿宋_GB2312"/>
          <w:sz w:val="24"/>
        </w:rPr>
        <w:t>deposits with maturities within 3 months registered 0.</w:t>
      </w:r>
      <w:r>
        <w:rPr>
          <w:rFonts w:hint="eastAsia" w:eastAsia="仿宋_GB2312"/>
          <w:sz w:val="24"/>
        </w:rPr>
        <w:t>3</w:t>
      </w:r>
      <w:r>
        <w:rPr>
          <w:rFonts w:eastAsia="仿宋_GB2312"/>
          <w:sz w:val="24"/>
        </w:rPr>
        <w:t xml:space="preserve">0 percent </w:t>
      </w:r>
      <w:r>
        <w:rPr>
          <w:rFonts w:hint="eastAsia" w:eastAsia="仿宋_GB2312"/>
          <w:sz w:val="24"/>
        </w:rPr>
        <w:t xml:space="preserve">and 1.92 </w:t>
      </w:r>
      <w:r>
        <w:rPr>
          <w:rFonts w:eastAsia="仿宋_GB2312"/>
          <w:sz w:val="24"/>
        </w:rPr>
        <w:t>percent,</w:t>
      </w:r>
      <w:r>
        <w:rPr>
          <w:rFonts w:hint="eastAsia" w:eastAsia="仿宋_GB2312"/>
          <w:sz w:val="24"/>
        </w:rPr>
        <w:t xml:space="preserve"> respectively</w:t>
      </w:r>
      <w:r>
        <w:rPr>
          <w:rFonts w:eastAsia="仿宋_GB2312"/>
          <w:sz w:val="24"/>
        </w:rPr>
        <w:t xml:space="preserve">, </w:t>
      </w:r>
      <w:r>
        <w:rPr>
          <w:rFonts w:hint="eastAsia" w:eastAsia="仿宋_GB2312"/>
          <w:sz w:val="24"/>
        </w:rPr>
        <w:t>up</w:t>
      </w:r>
      <w:r>
        <w:rPr>
          <w:rFonts w:eastAsia="仿宋_GB2312"/>
          <w:sz w:val="24"/>
        </w:rPr>
        <w:t xml:space="preserve"> 0.</w:t>
      </w:r>
      <w:r>
        <w:rPr>
          <w:rFonts w:hint="eastAsia" w:eastAsia="仿宋_GB2312"/>
          <w:sz w:val="24"/>
        </w:rPr>
        <w:t>10 and 0.22</w:t>
      </w:r>
      <w:r>
        <w:rPr>
          <w:rFonts w:eastAsia="仿宋_GB2312"/>
          <w:sz w:val="24"/>
        </w:rPr>
        <w:t xml:space="preserve"> percentage point from</w:t>
      </w:r>
      <w:r>
        <w:rPr>
          <w:rFonts w:hint="eastAsia" w:eastAsia="仿宋_GB2312"/>
          <w:sz w:val="24"/>
        </w:rPr>
        <w:t xml:space="preserve"> December 2017. </w:t>
      </w:r>
      <w:r>
        <w:rPr>
          <w:rFonts w:eastAsia="仿宋_GB2312"/>
          <w:sz w:val="24"/>
        </w:rPr>
        <w:t xml:space="preserve">The weighted average interest rates for USD loans with maturities within 3 months and with maturities between 3 months (including 3 months) and 6 months posted </w:t>
      </w:r>
      <w:r>
        <w:rPr>
          <w:rFonts w:hint="eastAsia" w:eastAsia="仿宋_GB2312"/>
          <w:sz w:val="24"/>
        </w:rPr>
        <w:t>3.17</w:t>
      </w:r>
      <w:r>
        <w:rPr>
          <w:rFonts w:eastAsia="仿宋_GB2312"/>
          <w:sz w:val="24"/>
        </w:rPr>
        <w:t xml:space="preserve"> percent and </w:t>
      </w:r>
      <w:r>
        <w:rPr>
          <w:rFonts w:hint="eastAsia" w:eastAsia="仿宋_GB2312"/>
          <w:sz w:val="24"/>
        </w:rPr>
        <w:t>3.42</w:t>
      </w:r>
      <w:r>
        <w:rPr>
          <w:rFonts w:eastAsia="仿宋_GB2312"/>
          <w:sz w:val="24"/>
        </w:rPr>
        <w:t xml:space="preserve"> percent, respectively, up 0.</w:t>
      </w:r>
      <w:r>
        <w:rPr>
          <w:rFonts w:hint="eastAsia" w:eastAsia="仿宋_GB2312"/>
          <w:sz w:val="24"/>
        </w:rPr>
        <w:t>50</w:t>
      </w:r>
      <w:r>
        <w:rPr>
          <w:rFonts w:eastAsia="仿宋_GB2312"/>
          <w:sz w:val="24"/>
        </w:rPr>
        <w:t xml:space="preserve"> percentage point and 0.</w:t>
      </w:r>
      <w:r>
        <w:rPr>
          <w:rFonts w:hint="eastAsia" w:eastAsia="仿宋_GB2312"/>
          <w:sz w:val="24"/>
        </w:rPr>
        <w:t>43</w:t>
      </w:r>
      <w:r>
        <w:rPr>
          <w:rFonts w:eastAsia="仿宋_GB2312"/>
          <w:sz w:val="24"/>
        </w:rPr>
        <w:t xml:space="preserve"> percentage point, respectively, from</w:t>
      </w:r>
      <w:r>
        <w:rPr>
          <w:rFonts w:hint="eastAsia" w:eastAsia="仿宋_GB2312"/>
          <w:sz w:val="24"/>
        </w:rPr>
        <w:t xml:space="preserve"> December 2017</w:t>
      </w:r>
      <w:r>
        <w:rPr>
          <w:rFonts w:eastAsia="仿宋_GB2312"/>
          <w:sz w:val="24"/>
        </w:rPr>
        <w:t>.</w:t>
      </w:r>
    </w:p>
    <w:bookmarkEnd w:id="43"/>
    <w:bookmarkEnd w:id="44"/>
    <w:bookmarkEnd w:id="45"/>
    <w:bookmarkEnd w:id="46"/>
    <w:p>
      <w:pPr>
        <w:jc w:val="center"/>
        <w:rPr>
          <w:b/>
          <w:sz w:val="24"/>
        </w:rPr>
      </w:pPr>
      <w:bookmarkStart w:id="47" w:name="_Toc517190862"/>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7</w:t>
      </w:r>
      <w:r>
        <w:rPr>
          <w:b/>
          <w:sz w:val="24"/>
        </w:rPr>
        <w:fldChar w:fldCharType="end"/>
      </w:r>
      <w:r>
        <w:rPr>
          <w:b/>
          <w:sz w:val="24"/>
        </w:rPr>
        <w:t xml:space="preserve">. Average Interest Rates for Large-Value Deposits and Loans in USD, January through </w:t>
      </w:r>
      <w:r>
        <w:rPr>
          <w:rFonts w:hint="eastAsia"/>
          <w:b/>
          <w:sz w:val="24"/>
        </w:rPr>
        <w:t>March</w:t>
      </w:r>
      <w:r>
        <w:rPr>
          <w:b/>
          <w:sz w:val="24"/>
        </w:rPr>
        <w:t xml:space="preserve"> 201</w:t>
      </w:r>
      <w:r>
        <w:rPr>
          <w:rFonts w:hint="eastAsia"/>
          <w:b/>
          <w:sz w:val="24"/>
        </w:rPr>
        <w:t>8</w:t>
      </w:r>
      <w:bookmarkEnd w:id="47"/>
    </w:p>
    <w:tbl>
      <w:tblPr>
        <w:tblStyle w:val="96"/>
        <w:tblW w:w="10441" w:type="dxa"/>
        <w:jc w:val="center"/>
        <w:tblInd w:w="0" w:type="dxa"/>
        <w:tblLayout w:type="fixed"/>
        <w:tblCellMar>
          <w:top w:w="0" w:type="dxa"/>
          <w:left w:w="0" w:type="dxa"/>
          <w:bottom w:w="0" w:type="dxa"/>
          <w:right w:w="0" w:type="dxa"/>
        </w:tblCellMar>
      </w:tblPr>
      <w:tblGrid>
        <w:gridCol w:w="846"/>
        <w:gridCol w:w="768"/>
        <w:gridCol w:w="850"/>
        <w:gridCol w:w="851"/>
        <w:gridCol w:w="850"/>
        <w:gridCol w:w="851"/>
        <w:gridCol w:w="850"/>
        <w:gridCol w:w="993"/>
        <w:gridCol w:w="850"/>
        <w:gridCol w:w="923"/>
        <w:gridCol w:w="816"/>
        <w:gridCol w:w="993"/>
      </w:tblGrid>
      <w:tr>
        <w:tblPrEx>
          <w:tblLayout w:type="fixed"/>
          <w:tblCellMar>
            <w:top w:w="0" w:type="dxa"/>
            <w:left w:w="0" w:type="dxa"/>
            <w:bottom w:w="0" w:type="dxa"/>
            <w:right w:w="0" w:type="dxa"/>
          </w:tblCellMar>
        </w:tblPrEx>
        <w:trPr>
          <w:trHeight w:val="300" w:hRule="atLeast"/>
          <w:jc w:val="center"/>
        </w:trPr>
        <w:tc>
          <w:tcPr>
            <w:tcW w:w="10441" w:type="dxa"/>
            <w:gridSpan w:val="12"/>
            <w:tcBorders>
              <w:top w:val="nil"/>
              <w:left w:val="nil"/>
              <w:bottom w:val="single" w:color="339966" w:sz="12" w:space="0"/>
              <w:right w:val="nil"/>
            </w:tcBorders>
            <w:vAlign w:val="bottom"/>
          </w:tcPr>
          <w:p>
            <w:pPr>
              <w:widowControl/>
              <w:ind w:left="-737" w:leftChars="-351" w:firstLine="822" w:firstLineChars="457"/>
              <w:jc w:val="right"/>
              <w:rPr>
                <w:kern w:val="0"/>
                <w:sz w:val="18"/>
                <w:szCs w:val="18"/>
              </w:rPr>
            </w:pPr>
            <w:r>
              <w:rPr>
                <w:kern w:val="0"/>
                <w:sz w:val="18"/>
                <w:szCs w:val="18"/>
              </w:rPr>
              <w:t>Unit</w:t>
            </w:r>
            <w:r>
              <w:rPr>
                <w:rFonts w:hint="eastAsia"/>
                <w:kern w:val="0"/>
                <w:sz w:val="18"/>
                <w:szCs w:val="18"/>
              </w:rPr>
              <w:t>：</w:t>
            </w:r>
            <w:r>
              <w:rPr>
                <w:kern w:val="0"/>
                <w:sz w:val="18"/>
                <w:szCs w:val="18"/>
              </w:rPr>
              <w:t>%</w:t>
            </w:r>
          </w:p>
        </w:tc>
      </w:tr>
      <w:tr>
        <w:tblPrEx>
          <w:tblLayout w:type="fixed"/>
          <w:tblCellMar>
            <w:top w:w="0" w:type="dxa"/>
            <w:left w:w="0" w:type="dxa"/>
            <w:bottom w:w="0" w:type="dxa"/>
            <w:right w:w="0" w:type="dxa"/>
          </w:tblCellMar>
        </w:tblPrEx>
        <w:trPr>
          <w:cantSplit/>
          <w:trHeight w:val="342" w:hRule="atLeast"/>
          <w:jc w:val="center"/>
        </w:trPr>
        <w:tc>
          <w:tcPr>
            <w:tcW w:w="846" w:type="dxa"/>
            <w:vMerge w:val="restart"/>
            <w:tcBorders>
              <w:top w:val="single" w:color="339966" w:sz="12" w:space="0"/>
              <w:left w:val="nil"/>
              <w:bottom w:val="single" w:color="339966" w:sz="8" w:space="0"/>
              <w:right w:val="single" w:color="339966" w:sz="4" w:space="0"/>
            </w:tcBorders>
            <w:shd w:val="clear" w:color="auto" w:fill="CCFFCC"/>
            <w:vAlign w:val="center"/>
          </w:tcPr>
          <w:p>
            <w:pPr>
              <w:jc w:val="left"/>
              <w:rPr>
                <w:sz w:val="18"/>
                <w:szCs w:val="18"/>
              </w:rPr>
            </w:pPr>
            <w:r>
              <w:rPr>
                <w:sz w:val="18"/>
                <w:szCs w:val="18"/>
              </w:rPr>
              <w:t xml:space="preserve">Month </w:t>
            </w:r>
          </w:p>
        </w:tc>
        <w:tc>
          <w:tcPr>
            <w:tcW w:w="5020" w:type="dxa"/>
            <w:gridSpan w:val="6"/>
            <w:tcBorders>
              <w:top w:val="single" w:color="339966" w:sz="12" w:space="0"/>
              <w:left w:val="nil"/>
              <w:bottom w:val="single" w:color="339966" w:sz="4" w:space="0"/>
              <w:right w:val="single" w:color="339966" w:sz="4" w:space="0"/>
            </w:tcBorders>
            <w:shd w:val="clear" w:color="auto" w:fill="CCFFCC"/>
            <w:vAlign w:val="center"/>
          </w:tcPr>
          <w:p>
            <w:pPr>
              <w:widowControl/>
              <w:jc w:val="center"/>
              <w:rPr>
                <w:kern w:val="0"/>
                <w:sz w:val="18"/>
                <w:szCs w:val="18"/>
              </w:rPr>
            </w:pPr>
            <w:r>
              <w:rPr>
                <w:kern w:val="0"/>
                <w:sz w:val="18"/>
                <w:szCs w:val="18"/>
              </w:rPr>
              <w:t>Large-value deposits</w:t>
            </w:r>
          </w:p>
        </w:tc>
        <w:tc>
          <w:tcPr>
            <w:tcW w:w="4575" w:type="dxa"/>
            <w:gridSpan w:val="5"/>
            <w:tcBorders>
              <w:top w:val="single" w:color="339966" w:sz="12" w:space="0"/>
              <w:left w:val="single" w:color="339966" w:sz="8" w:space="0"/>
              <w:bottom w:val="single" w:color="339966" w:sz="4" w:space="0"/>
            </w:tcBorders>
            <w:shd w:val="clear" w:color="auto" w:fill="CCFFCC"/>
            <w:vAlign w:val="center"/>
          </w:tcPr>
          <w:p>
            <w:pPr>
              <w:widowControl/>
              <w:jc w:val="center"/>
              <w:rPr>
                <w:kern w:val="0"/>
                <w:sz w:val="18"/>
                <w:szCs w:val="18"/>
              </w:rPr>
            </w:pPr>
            <w:r>
              <w:rPr>
                <w:kern w:val="0"/>
                <w:sz w:val="18"/>
                <w:szCs w:val="18"/>
              </w:rPr>
              <w:t>Loans</w:t>
            </w:r>
          </w:p>
        </w:tc>
      </w:tr>
      <w:tr>
        <w:tblPrEx>
          <w:tblLayout w:type="fixed"/>
          <w:tblCellMar>
            <w:top w:w="0" w:type="dxa"/>
            <w:left w:w="0" w:type="dxa"/>
            <w:bottom w:w="0" w:type="dxa"/>
            <w:right w:w="0" w:type="dxa"/>
          </w:tblCellMar>
        </w:tblPrEx>
        <w:trPr>
          <w:cantSplit/>
          <w:trHeight w:val="495" w:hRule="atLeast"/>
          <w:jc w:val="center"/>
        </w:trPr>
        <w:tc>
          <w:tcPr>
            <w:tcW w:w="846" w:type="dxa"/>
            <w:vMerge w:val="continue"/>
            <w:tcBorders>
              <w:top w:val="single" w:color="339966" w:sz="12" w:space="0"/>
              <w:left w:val="nil"/>
              <w:bottom w:val="single" w:color="339966" w:sz="8" w:space="0"/>
              <w:right w:val="single" w:color="339966" w:sz="4" w:space="0"/>
            </w:tcBorders>
            <w:shd w:val="clear" w:color="auto" w:fill="auto"/>
            <w:vAlign w:val="center"/>
          </w:tcPr>
          <w:p>
            <w:pPr>
              <w:widowControl/>
              <w:jc w:val="left"/>
              <w:rPr>
                <w:kern w:val="0"/>
                <w:sz w:val="18"/>
                <w:szCs w:val="18"/>
              </w:rPr>
            </w:pPr>
          </w:p>
        </w:tc>
        <w:tc>
          <w:tcPr>
            <w:tcW w:w="768"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3–6 months (including 3 months)</w:t>
            </w:r>
          </w:p>
        </w:tc>
        <w:tc>
          <w:tcPr>
            <w:tcW w:w="850"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6–12 months</w:t>
            </w:r>
          </w:p>
          <w:p>
            <w:pPr>
              <w:widowControl/>
              <w:rPr>
                <w:kern w:val="0"/>
                <w:sz w:val="18"/>
                <w:szCs w:val="18"/>
              </w:rPr>
            </w:pPr>
            <w:r>
              <w:rPr>
                <w:kern w:val="0"/>
                <w:sz w:val="18"/>
                <w:szCs w:val="18"/>
              </w:rPr>
              <w:t>(including 6 months)</w:t>
            </w:r>
          </w:p>
        </w:tc>
        <w:tc>
          <w:tcPr>
            <w:tcW w:w="851"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3–6 months (including 3 months)</w:t>
            </w:r>
          </w:p>
        </w:tc>
        <w:tc>
          <w:tcPr>
            <w:tcW w:w="850"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6–12 months</w:t>
            </w:r>
          </w:p>
          <w:p>
            <w:pPr>
              <w:widowControl/>
              <w:rPr>
                <w:kern w:val="0"/>
                <w:sz w:val="18"/>
                <w:szCs w:val="18"/>
              </w:rPr>
            </w:pPr>
            <w:r>
              <w:rPr>
                <w:kern w:val="0"/>
                <w:sz w:val="18"/>
                <w:szCs w:val="18"/>
              </w:rPr>
              <w:t>(including 6 months)</w:t>
            </w:r>
          </w:p>
        </w:tc>
        <w:tc>
          <w:tcPr>
            <w:tcW w:w="851"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3–6 months (including 3 months)</w:t>
            </w:r>
          </w:p>
        </w:tc>
        <w:tc>
          <w:tcPr>
            <w:tcW w:w="850" w:type="dxa"/>
            <w:tcBorders>
              <w:top w:val="nil"/>
              <w:left w:val="nil"/>
              <w:bottom w:val="single" w:color="339966" w:sz="8" w:space="0"/>
              <w:right w:val="nil"/>
            </w:tcBorders>
            <w:shd w:val="clear" w:color="auto" w:fill="CCFFCC"/>
            <w:vAlign w:val="center"/>
          </w:tcPr>
          <w:p>
            <w:pPr>
              <w:widowControl/>
              <w:rPr>
                <w:kern w:val="0"/>
                <w:sz w:val="18"/>
                <w:szCs w:val="18"/>
              </w:rPr>
            </w:pPr>
            <w:r>
              <w:rPr>
                <w:kern w:val="0"/>
                <w:sz w:val="18"/>
                <w:szCs w:val="18"/>
              </w:rPr>
              <w:t>6–12 months</w:t>
            </w:r>
          </w:p>
          <w:p>
            <w:pPr>
              <w:widowControl/>
              <w:rPr>
                <w:kern w:val="0"/>
                <w:sz w:val="18"/>
                <w:szCs w:val="18"/>
              </w:rPr>
            </w:pPr>
            <w:r>
              <w:rPr>
                <w:kern w:val="0"/>
                <w:sz w:val="18"/>
                <w:szCs w:val="18"/>
              </w:rPr>
              <w:t>(including 6 months)</w:t>
            </w:r>
          </w:p>
        </w:tc>
        <w:tc>
          <w:tcPr>
            <w:tcW w:w="993" w:type="dxa"/>
            <w:tcBorders>
              <w:top w:val="nil"/>
              <w:left w:val="single" w:color="339966" w:sz="8" w:space="0"/>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3–6 months (including 3 months)</w:t>
            </w:r>
          </w:p>
        </w:tc>
        <w:tc>
          <w:tcPr>
            <w:tcW w:w="850"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6–12 months</w:t>
            </w:r>
          </w:p>
          <w:p>
            <w:pPr>
              <w:widowControl/>
              <w:rPr>
                <w:kern w:val="0"/>
                <w:sz w:val="18"/>
                <w:szCs w:val="18"/>
              </w:rPr>
            </w:pPr>
            <w:r>
              <w:rPr>
                <w:kern w:val="0"/>
                <w:sz w:val="18"/>
                <w:szCs w:val="18"/>
              </w:rPr>
              <w:t>(including 6 months)</w:t>
            </w:r>
          </w:p>
        </w:tc>
        <w:tc>
          <w:tcPr>
            <w:tcW w:w="923"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3–6 months (including 3 months)</w:t>
            </w:r>
          </w:p>
        </w:tc>
        <w:tc>
          <w:tcPr>
            <w:tcW w:w="816" w:type="dxa"/>
            <w:tcBorders>
              <w:top w:val="nil"/>
              <w:left w:val="nil"/>
              <w:bottom w:val="single" w:color="339966" w:sz="8" w:space="0"/>
              <w:right w:val="single" w:color="339966" w:sz="4" w:space="0"/>
            </w:tcBorders>
            <w:shd w:val="clear" w:color="auto" w:fill="CCFFCC"/>
            <w:vAlign w:val="center"/>
          </w:tcPr>
          <w:p>
            <w:pPr>
              <w:widowControl/>
              <w:rPr>
                <w:kern w:val="0"/>
                <w:sz w:val="18"/>
                <w:szCs w:val="18"/>
              </w:rPr>
            </w:pPr>
            <w:r>
              <w:rPr>
                <w:kern w:val="0"/>
                <w:sz w:val="18"/>
                <w:szCs w:val="18"/>
              </w:rPr>
              <w:t>6–12 months</w:t>
            </w:r>
          </w:p>
          <w:p>
            <w:pPr>
              <w:widowControl/>
              <w:rPr>
                <w:kern w:val="0"/>
                <w:sz w:val="18"/>
                <w:szCs w:val="18"/>
              </w:rPr>
            </w:pPr>
            <w:r>
              <w:rPr>
                <w:kern w:val="0"/>
                <w:sz w:val="18"/>
                <w:szCs w:val="18"/>
              </w:rPr>
              <w:t>(including 6 months)</w:t>
            </w:r>
          </w:p>
        </w:tc>
        <w:tc>
          <w:tcPr>
            <w:tcW w:w="993" w:type="dxa"/>
            <w:tcBorders>
              <w:top w:val="nil"/>
              <w:left w:val="nil"/>
              <w:bottom w:val="single" w:color="339966" w:sz="8" w:space="0"/>
              <w:right w:val="nil"/>
            </w:tcBorders>
            <w:shd w:val="clear" w:color="auto" w:fill="CCFFCC"/>
            <w:vAlign w:val="center"/>
          </w:tcPr>
          <w:p>
            <w:pPr>
              <w:widowControl/>
              <w:rPr>
                <w:kern w:val="0"/>
                <w:sz w:val="18"/>
                <w:szCs w:val="18"/>
              </w:rPr>
            </w:pPr>
            <w:r>
              <w:rPr>
                <w:kern w:val="0"/>
                <w:sz w:val="18"/>
                <w:szCs w:val="18"/>
              </w:rPr>
              <w:t>3–6 months (including 3 months)</w:t>
            </w:r>
          </w:p>
        </w:tc>
      </w:tr>
      <w:tr>
        <w:tblPrEx>
          <w:tblLayout w:type="fixed"/>
          <w:tblCellMar>
            <w:top w:w="0" w:type="dxa"/>
            <w:left w:w="0" w:type="dxa"/>
            <w:bottom w:w="0" w:type="dxa"/>
            <w:right w:w="0" w:type="dxa"/>
          </w:tblCellMar>
        </w:tblPrEx>
        <w:trPr>
          <w:trHeight w:val="319" w:hRule="atLeast"/>
          <w:jc w:val="center"/>
        </w:trPr>
        <w:tc>
          <w:tcPr>
            <w:tcW w:w="846" w:type="dxa"/>
            <w:tcBorders>
              <w:top w:val="nil"/>
              <w:left w:val="nil"/>
              <w:bottom w:val="nil"/>
              <w:right w:val="single" w:color="339966" w:sz="4" w:space="0"/>
            </w:tcBorders>
            <w:vAlign w:val="center"/>
          </w:tcPr>
          <w:p>
            <w:pPr>
              <w:jc w:val="center"/>
              <w:rPr>
                <w:sz w:val="18"/>
                <w:szCs w:val="18"/>
              </w:rPr>
            </w:pPr>
            <w:r>
              <w:rPr>
                <w:sz w:val="18"/>
                <w:szCs w:val="18"/>
              </w:rPr>
              <w:t>January</w:t>
            </w:r>
          </w:p>
        </w:tc>
        <w:tc>
          <w:tcPr>
            <w:tcW w:w="768" w:type="dxa"/>
            <w:tcBorders>
              <w:top w:val="nil"/>
              <w:left w:val="nil"/>
              <w:bottom w:val="nil"/>
              <w:right w:val="single" w:color="339966" w:sz="4" w:space="0"/>
            </w:tcBorders>
          </w:tcPr>
          <w:p>
            <w:pPr>
              <w:jc w:val="center"/>
            </w:pPr>
            <w:r>
              <w:t>0.19</w:t>
            </w:r>
          </w:p>
        </w:tc>
        <w:tc>
          <w:tcPr>
            <w:tcW w:w="850" w:type="dxa"/>
            <w:tcBorders>
              <w:top w:val="nil"/>
              <w:left w:val="nil"/>
              <w:bottom w:val="nil"/>
              <w:right w:val="single" w:color="339966" w:sz="4" w:space="0"/>
            </w:tcBorders>
          </w:tcPr>
          <w:p>
            <w:pPr>
              <w:jc w:val="center"/>
            </w:pPr>
            <w:r>
              <w:t>1.79</w:t>
            </w:r>
          </w:p>
        </w:tc>
        <w:tc>
          <w:tcPr>
            <w:tcW w:w="851" w:type="dxa"/>
            <w:tcBorders>
              <w:top w:val="nil"/>
              <w:left w:val="nil"/>
              <w:bottom w:val="nil"/>
              <w:right w:val="single" w:color="339966" w:sz="4" w:space="0"/>
            </w:tcBorders>
          </w:tcPr>
          <w:p>
            <w:pPr>
              <w:jc w:val="center"/>
            </w:pPr>
            <w:r>
              <w:t>2.37</w:t>
            </w:r>
          </w:p>
        </w:tc>
        <w:tc>
          <w:tcPr>
            <w:tcW w:w="850" w:type="dxa"/>
            <w:tcBorders>
              <w:top w:val="nil"/>
              <w:left w:val="nil"/>
              <w:bottom w:val="nil"/>
              <w:right w:val="single" w:color="339966" w:sz="4" w:space="0"/>
            </w:tcBorders>
          </w:tcPr>
          <w:p>
            <w:pPr>
              <w:jc w:val="center"/>
            </w:pPr>
            <w:r>
              <w:t>2.61</w:t>
            </w:r>
          </w:p>
        </w:tc>
        <w:tc>
          <w:tcPr>
            <w:tcW w:w="851" w:type="dxa"/>
            <w:tcBorders>
              <w:top w:val="nil"/>
              <w:left w:val="nil"/>
              <w:bottom w:val="nil"/>
              <w:right w:val="single" w:color="339966" w:sz="4" w:space="0"/>
            </w:tcBorders>
          </w:tcPr>
          <w:p>
            <w:pPr>
              <w:jc w:val="center"/>
            </w:pPr>
            <w:r>
              <w:t>2.77</w:t>
            </w:r>
          </w:p>
        </w:tc>
        <w:tc>
          <w:tcPr>
            <w:tcW w:w="850" w:type="dxa"/>
          </w:tcPr>
          <w:p>
            <w:pPr>
              <w:jc w:val="center"/>
            </w:pPr>
            <w:r>
              <w:t>2.87</w:t>
            </w:r>
          </w:p>
        </w:tc>
        <w:tc>
          <w:tcPr>
            <w:tcW w:w="993" w:type="dxa"/>
            <w:tcBorders>
              <w:top w:val="nil"/>
              <w:left w:val="single" w:color="339966" w:sz="8" w:space="0"/>
              <w:bottom w:val="nil"/>
              <w:right w:val="single" w:color="339966" w:sz="4" w:space="0"/>
            </w:tcBorders>
          </w:tcPr>
          <w:p>
            <w:pPr>
              <w:jc w:val="center"/>
            </w:pPr>
            <w:r>
              <w:t>2.72</w:t>
            </w:r>
          </w:p>
        </w:tc>
        <w:tc>
          <w:tcPr>
            <w:tcW w:w="850" w:type="dxa"/>
            <w:tcBorders>
              <w:top w:val="nil"/>
              <w:left w:val="nil"/>
              <w:bottom w:val="nil"/>
              <w:right w:val="single" w:color="339966" w:sz="4" w:space="0"/>
            </w:tcBorders>
          </w:tcPr>
          <w:p>
            <w:pPr>
              <w:jc w:val="center"/>
            </w:pPr>
            <w:r>
              <w:t>3.10</w:t>
            </w:r>
          </w:p>
        </w:tc>
        <w:tc>
          <w:tcPr>
            <w:tcW w:w="923" w:type="dxa"/>
            <w:tcBorders>
              <w:top w:val="nil"/>
              <w:left w:val="nil"/>
              <w:bottom w:val="nil"/>
              <w:right w:val="single" w:color="339966" w:sz="4" w:space="0"/>
            </w:tcBorders>
          </w:tcPr>
          <w:p>
            <w:pPr>
              <w:jc w:val="center"/>
            </w:pPr>
            <w:r>
              <w:t>2.84</w:t>
            </w:r>
          </w:p>
        </w:tc>
        <w:tc>
          <w:tcPr>
            <w:tcW w:w="816" w:type="dxa"/>
            <w:tcBorders>
              <w:top w:val="nil"/>
              <w:left w:val="nil"/>
              <w:bottom w:val="nil"/>
              <w:right w:val="single" w:color="339966" w:sz="4" w:space="0"/>
            </w:tcBorders>
          </w:tcPr>
          <w:p>
            <w:pPr>
              <w:jc w:val="center"/>
            </w:pPr>
            <w:r>
              <w:t>3.04</w:t>
            </w:r>
          </w:p>
        </w:tc>
        <w:tc>
          <w:tcPr>
            <w:tcW w:w="993" w:type="dxa"/>
          </w:tcPr>
          <w:p>
            <w:pPr>
              <w:jc w:val="center"/>
            </w:pPr>
            <w:r>
              <w:t>4.48</w:t>
            </w:r>
          </w:p>
        </w:tc>
      </w:tr>
      <w:tr>
        <w:tblPrEx>
          <w:tblLayout w:type="fixed"/>
          <w:tblCellMar>
            <w:top w:w="0" w:type="dxa"/>
            <w:left w:w="0" w:type="dxa"/>
            <w:bottom w:w="0" w:type="dxa"/>
            <w:right w:w="0" w:type="dxa"/>
          </w:tblCellMar>
        </w:tblPrEx>
        <w:trPr>
          <w:trHeight w:val="319" w:hRule="atLeast"/>
          <w:jc w:val="center"/>
        </w:trPr>
        <w:tc>
          <w:tcPr>
            <w:tcW w:w="846" w:type="dxa"/>
            <w:tcBorders>
              <w:top w:val="nil"/>
              <w:left w:val="nil"/>
              <w:right w:val="single" w:color="339966" w:sz="4" w:space="0"/>
            </w:tcBorders>
            <w:shd w:val="clear" w:color="auto" w:fill="CCFFCC"/>
            <w:vAlign w:val="center"/>
          </w:tcPr>
          <w:p>
            <w:pPr>
              <w:jc w:val="center"/>
              <w:rPr>
                <w:sz w:val="18"/>
                <w:szCs w:val="18"/>
              </w:rPr>
            </w:pPr>
            <w:r>
              <w:rPr>
                <w:sz w:val="18"/>
                <w:szCs w:val="18"/>
              </w:rPr>
              <w:t>February</w:t>
            </w:r>
          </w:p>
        </w:tc>
        <w:tc>
          <w:tcPr>
            <w:tcW w:w="768" w:type="dxa"/>
            <w:tcBorders>
              <w:top w:val="nil"/>
              <w:left w:val="nil"/>
              <w:right w:val="single" w:color="339966" w:sz="4" w:space="0"/>
            </w:tcBorders>
            <w:shd w:val="clear" w:color="auto" w:fill="CCFFCC"/>
          </w:tcPr>
          <w:p>
            <w:pPr>
              <w:jc w:val="center"/>
            </w:pPr>
            <w:r>
              <w:t>0.18</w:t>
            </w:r>
          </w:p>
        </w:tc>
        <w:tc>
          <w:tcPr>
            <w:tcW w:w="850" w:type="dxa"/>
            <w:tcBorders>
              <w:top w:val="nil"/>
              <w:left w:val="nil"/>
              <w:right w:val="single" w:color="339966" w:sz="4" w:space="0"/>
            </w:tcBorders>
            <w:shd w:val="clear" w:color="auto" w:fill="CCFFCC"/>
          </w:tcPr>
          <w:p>
            <w:pPr>
              <w:jc w:val="center"/>
            </w:pPr>
            <w:r>
              <w:t>1.82</w:t>
            </w:r>
          </w:p>
        </w:tc>
        <w:tc>
          <w:tcPr>
            <w:tcW w:w="851" w:type="dxa"/>
            <w:tcBorders>
              <w:top w:val="nil"/>
              <w:left w:val="nil"/>
              <w:right w:val="single" w:color="339966" w:sz="4" w:space="0"/>
            </w:tcBorders>
            <w:shd w:val="clear" w:color="auto" w:fill="CCFFCC"/>
          </w:tcPr>
          <w:p>
            <w:pPr>
              <w:jc w:val="center"/>
            </w:pPr>
            <w:r>
              <w:t>2.39</w:t>
            </w:r>
          </w:p>
        </w:tc>
        <w:tc>
          <w:tcPr>
            <w:tcW w:w="850" w:type="dxa"/>
            <w:tcBorders>
              <w:top w:val="nil"/>
              <w:left w:val="nil"/>
              <w:right w:val="single" w:color="339966" w:sz="4" w:space="0"/>
            </w:tcBorders>
            <w:shd w:val="clear" w:color="auto" w:fill="CCFFCC"/>
          </w:tcPr>
          <w:p>
            <w:pPr>
              <w:jc w:val="center"/>
            </w:pPr>
            <w:r>
              <w:t>2.70</w:t>
            </w:r>
          </w:p>
        </w:tc>
        <w:tc>
          <w:tcPr>
            <w:tcW w:w="851" w:type="dxa"/>
            <w:tcBorders>
              <w:top w:val="nil"/>
              <w:left w:val="nil"/>
              <w:right w:val="single" w:color="339966" w:sz="4" w:space="0"/>
            </w:tcBorders>
            <w:shd w:val="clear" w:color="auto" w:fill="CCFFCC"/>
          </w:tcPr>
          <w:p>
            <w:pPr>
              <w:jc w:val="center"/>
            </w:pPr>
            <w:r>
              <w:t>2.97</w:t>
            </w:r>
          </w:p>
        </w:tc>
        <w:tc>
          <w:tcPr>
            <w:tcW w:w="850" w:type="dxa"/>
            <w:shd w:val="clear" w:color="auto" w:fill="CCFFCC"/>
          </w:tcPr>
          <w:p>
            <w:pPr>
              <w:jc w:val="center"/>
            </w:pPr>
            <w:r>
              <w:t>2.81</w:t>
            </w:r>
          </w:p>
        </w:tc>
        <w:tc>
          <w:tcPr>
            <w:tcW w:w="993" w:type="dxa"/>
            <w:tcBorders>
              <w:top w:val="nil"/>
              <w:left w:val="single" w:color="339966" w:sz="8" w:space="0"/>
              <w:right w:val="single" w:color="339966" w:sz="4" w:space="0"/>
            </w:tcBorders>
            <w:shd w:val="clear" w:color="auto" w:fill="CCFFCC"/>
          </w:tcPr>
          <w:p>
            <w:pPr>
              <w:jc w:val="center"/>
            </w:pPr>
            <w:r>
              <w:t>2.79</w:t>
            </w:r>
          </w:p>
        </w:tc>
        <w:tc>
          <w:tcPr>
            <w:tcW w:w="850" w:type="dxa"/>
            <w:tcBorders>
              <w:top w:val="nil"/>
              <w:left w:val="nil"/>
              <w:right w:val="single" w:color="339966" w:sz="4" w:space="0"/>
            </w:tcBorders>
            <w:shd w:val="clear" w:color="auto" w:fill="CCFFCC"/>
          </w:tcPr>
          <w:p>
            <w:pPr>
              <w:jc w:val="center"/>
            </w:pPr>
            <w:r>
              <w:t>3.28</w:t>
            </w:r>
          </w:p>
        </w:tc>
        <w:tc>
          <w:tcPr>
            <w:tcW w:w="923" w:type="dxa"/>
            <w:tcBorders>
              <w:top w:val="nil"/>
              <w:left w:val="nil"/>
              <w:right w:val="single" w:color="339966" w:sz="4" w:space="0"/>
            </w:tcBorders>
            <w:shd w:val="clear" w:color="auto" w:fill="CCFFCC"/>
          </w:tcPr>
          <w:p>
            <w:pPr>
              <w:jc w:val="center"/>
            </w:pPr>
            <w:r>
              <w:t>2.95</w:t>
            </w:r>
          </w:p>
        </w:tc>
        <w:tc>
          <w:tcPr>
            <w:tcW w:w="816" w:type="dxa"/>
            <w:tcBorders>
              <w:top w:val="nil"/>
              <w:left w:val="nil"/>
              <w:right w:val="single" w:color="339966" w:sz="4" w:space="0"/>
            </w:tcBorders>
            <w:shd w:val="clear" w:color="auto" w:fill="CCFFCC"/>
          </w:tcPr>
          <w:p>
            <w:pPr>
              <w:jc w:val="center"/>
            </w:pPr>
            <w:r>
              <w:t>3.21</w:t>
            </w:r>
          </w:p>
        </w:tc>
        <w:tc>
          <w:tcPr>
            <w:tcW w:w="993" w:type="dxa"/>
            <w:shd w:val="clear" w:color="auto" w:fill="CCFFCC"/>
          </w:tcPr>
          <w:p>
            <w:pPr>
              <w:jc w:val="center"/>
            </w:pPr>
            <w:r>
              <w:t>4.11</w:t>
            </w:r>
          </w:p>
        </w:tc>
      </w:tr>
      <w:tr>
        <w:tblPrEx>
          <w:tblLayout w:type="fixed"/>
        </w:tblPrEx>
        <w:trPr>
          <w:trHeight w:val="319" w:hRule="atLeast"/>
          <w:jc w:val="center"/>
        </w:trPr>
        <w:tc>
          <w:tcPr>
            <w:tcW w:w="846" w:type="dxa"/>
            <w:tcBorders>
              <w:top w:val="nil"/>
              <w:left w:val="nil"/>
              <w:bottom w:val="single" w:color="339966" w:sz="4" w:space="0"/>
              <w:right w:val="single" w:color="339966" w:sz="4" w:space="0"/>
            </w:tcBorders>
            <w:shd w:val="clear" w:color="auto" w:fill="FFFFFF" w:themeFill="background1"/>
            <w:vAlign w:val="center"/>
          </w:tcPr>
          <w:p>
            <w:pPr>
              <w:jc w:val="center"/>
              <w:rPr>
                <w:sz w:val="18"/>
                <w:szCs w:val="18"/>
              </w:rPr>
            </w:pPr>
            <w:r>
              <w:rPr>
                <w:rFonts w:hint="eastAsia"/>
                <w:sz w:val="18"/>
                <w:szCs w:val="18"/>
              </w:rPr>
              <w:t>March</w:t>
            </w:r>
          </w:p>
        </w:tc>
        <w:tc>
          <w:tcPr>
            <w:tcW w:w="768" w:type="dxa"/>
            <w:tcBorders>
              <w:top w:val="nil"/>
              <w:left w:val="single" w:color="339966" w:sz="4" w:space="0"/>
              <w:bottom w:val="single" w:color="339966" w:sz="4" w:space="0"/>
              <w:right w:val="single" w:color="339966" w:sz="4" w:space="0"/>
            </w:tcBorders>
            <w:shd w:val="clear" w:color="auto" w:fill="FFFFFF" w:themeFill="background1"/>
          </w:tcPr>
          <w:p>
            <w:pPr>
              <w:jc w:val="center"/>
            </w:pPr>
            <w:r>
              <w:t>0.30</w:t>
            </w:r>
          </w:p>
        </w:tc>
        <w:tc>
          <w:tcPr>
            <w:tcW w:w="850" w:type="dxa"/>
            <w:tcBorders>
              <w:top w:val="nil"/>
              <w:left w:val="single" w:color="339966" w:sz="4" w:space="0"/>
              <w:bottom w:val="single" w:color="339966" w:sz="4" w:space="0"/>
              <w:right w:val="single" w:color="339966" w:sz="4" w:space="0"/>
            </w:tcBorders>
            <w:shd w:val="clear" w:color="auto" w:fill="FFFFFF" w:themeFill="background1"/>
          </w:tcPr>
          <w:p>
            <w:pPr>
              <w:jc w:val="center"/>
            </w:pPr>
            <w:r>
              <w:t>1.92</w:t>
            </w:r>
          </w:p>
        </w:tc>
        <w:tc>
          <w:tcPr>
            <w:tcW w:w="851" w:type="dxa"/>
            <w:tcBorders>
              <w:top w:val="nil"/>
              <w:left w:val="single" w:color="339966" w:sz="4" w:space="0"/>
              <w:bottom w:val="single" w:color="339966" w:sz="4" w:space="0"/>
              <w:right w:val="single" w:color="339966" w:sz="4" w:space="0"/>
            </w:tcBorders>
            <w:shd w:val="clear" w:color="auto" w:fill="FFFFFF" w:themeFill="background1"/>
          </w:tcPr>
          <w:p>
            <w:pPr>
              <w:jc w:val="center"/>
            </w:pPr>
            <w:r>
              <w:t>2.70</w:t>
            </w:r>
          </w:p>
        </w:tc>
        <w:tc>
          <w:tcPr>
            <w:tcW w:w="850" w:type="dxa"/>
            <w:tcBorders>
              <w:top w:val="nil"/>
              <w:left w:val="single" w:color="339966" w:sz="4" w:space="0"/>
              <w:bottom w:val="single" w:color="339966" w:sz="4" w:space="0"/>
              <w:right w:val="single" w:color="339966" w:sz="4" w:space="0"/>
            </w:tcBorders>
            <w:shd w:val="clear" w:color="auto" w:fill="FFFFFF" w:themeFill="background1"/>
          </w:tcPr>
          <w:p>
            <w:pPr>
              <w:jc w:val="center"/>
            </w:pPr>
            <w:r>
              <w:t>3.09</w:t>
            </w:r>
          </w:p>
        </w:tc>
        <w:tc>
          <w:tcPr>
            <w:tcW w:w="851" w:type="dxa"/>
            <w:tcBorders>
              <w:top w:val="nil"/>
              <w:left w:val="single" w:color="339966" w:sz="4" w:space="0"/>
              <w:bottom w:val="single" w:color="339966" w:sz="4" w:space="0"/>
              <w:right w:val="single" w:color="339966" w:sz="4" w:space="0"/>
            </w:tcBorders>
            <w:shd w:val="clear" w:color="auto" w:fill="FFFFFF" w:themeFill="background1"/>
          </w:tcPr>
          <w:p>
            <w:pPr>
              <w:jc w:val="center"/>
            </w:pPr>
            <w:r>
              <w:t>3.28</w:t>
            </w:r>
          </w:p>
        </w:tc>
        <w:tc>
          <w:tcPr>
            <w:tcW w:w="850" w:type="dxa"/>
            <w:tcBorders>
              <w:left w:val="single" w:color="339966" w:sz="4" w:space="0"/>
              <w:bottom w:val="single" w:color="339966" w:sz="4" w:space="0"/>
              <w:right w:val="single" w:color="339966" w:sz="4" w:space="0"/>
            </w:tcBorders>
            <w:shd w:val="clear" w:color="auto" w:fill="FFFFFF" w:themeFill="background1"/>
          </w:tcPr>
          <w:p>
            <w:pPr>
              <w:jc w:val="center"/>
            </w:pPr>
            <w:r>
              <w:t>3.33</w:t>
            </w:r>
          </w:p>
        </w:tc>
        <w:tc>
          <w:tcPr>
            <w:tcW w:w="993" w:type="dxa"/>
            <w:tcBorders>
              <w:top w:val="nil"/>
              <w:left w:val="single" w:color="339966" w:sz="4" w:space="0"/>
              <w:bottom w:val="single" w:color="339966" w:sz="4" w:space="0"/>
              <w:right w:val="single" w:color="339966" w:sz="4" w:space="0"/>
            </w:tcBorders>
            <w:shd w:val="clear" w:color="auto" w:fill="FFFFFF" w:themeFill="background1"/>
          </w:tcPr>
          <w:p>
            <w:pPr>
              <w:jc w:val="center"/>
            </w:pPr>
            <w:r>
              <w:t>3.17</w:t>
            </w:r>
          </w:p>
        </w:tc>
        <w:tc>
          <w:tcPr>
            <w:tcW w:w="850" w:type="dxa"/>
            <w:tcBorders>
              <w:top w:val="nil"/>
              <w:left w:val="single" w:color="339966" w:sz="4" w:space="0"/>
              <w:bottom w:val="single" w:color="339966" w:sz="4" w:space="0"/>
              <w:right w:val="single" w:color="339966" w:sz="4" w:space="0"/>
            </w:tcBorders>
            <w:shd w:val="clear" w:color="auto" w:fill="FFFFFF" w:themeFill="background1"/>
          </w:tcPr>
          <w:p>
            <w:pPr>
              <w:jc w:val="center"/>
            </w:pPr>
            <w:r>
              <w:t>3.42</w:t>
            </w:r>
          </w:p>
        </w:tc>
        <w:tc>
          <w:tcPr>
            <w:tcW w:w="923" w:type="dxa"/>
            <w:tcBorders>
              <w:top w:val="nil"/>
              <w:left w:val="single" w:color="339966" w:sz="4" w:space="0"/>
              <w:bottom w:val="single" w:color="339966" w:sz="4" w:space="0"/>
              <w:right w:val="single" w:color="339966" w:sz="4" w:space="0"/>
            </w:tcBorders>
            <w:shd w:val="clear" w:color="auto" w:fill="FFFFFF" w:themeFill="background1"/>
          </w:tcPr>
          <w:p>
            <w:pPr>
              <w:jc w:val="center"/>
            </w:pPr>
            <w:r>
              <w:t>3.21</w:t>
            </w:r>
          </w:p>
        </w:tc>
        <w:tc>
          <w:tcPr>
            <w:tcW w:w="816" w:type="dxa"/>
            <w:tcBorders>
              <w:top w:val="nil"/>
              <w:left w:val="single" w:color="339966" w:sz="4" w:space="0"/>
              <w:bottom w:val="single" w:color="339966" w:sz="4" w:space="0"/>
              <w:right w:val="single" w:color="339966" w:sz="4" w:space="0"/>
            </w:tcBorders>
            <w:shd w:val="clear" w:color="auto" w:fill="FFFFFF" w:themeFill="background1"/>
          </w:tcPr>
          <w:p>
            <w:pPr>
              <w:jc w:val="center"/>
            </w:pPr>
            <w:r>
              <w:t>3.73</w:t>
            </w:r>
          </w:p>
        </w:tc>
        <w:tc>
          <w:tcPr>
            <w:tcW w:w="993" w:type="dxa"/>
            <w:tcBorders>
              <w:left w:val="single" w:color="339966" w:sz="4" w:space="0"/>
              <w:bottom w:val="single" w:color="339966" w:sz="4" w:space="0"/>
            </w:tcBorders>
            <w:shd w:val="clear" w:color="auto" w:fill="FFFFFF" w:themeFill="background1"/>
          </w:tcPr>
          <w:p>
            <w:pPr>
              <w:jc w:val="center"/>
            </w:pPr>
            <w:r>
              <w:t>4.23</w:t>
            </w:r>
          </w:p>
        </w:tc>
      </w:tr>
    </w:tbl>
    <w:p>
      <w:pPr>
        <w:rPr>
          <w:rFonts w:eastAsia="楷体_GB2312"/>
          <w:sz w:val="24"/>
        </w:rPr>
      </w:pPr>
      <w:r>
        <w:rPr>
          <w:rFonts w:eastAsia="楷体_GB2312"/>
          <w:sz w:val="24"/>
        </w:rPr>
        <w:t>Source: People’s Bank of China.</w:t>
      </w:r>
    </w:p>
    <w:p>
      <w:pPr>
        <w:pStyle w:val="119"/>
        <w:spacing w:beforeLines="50" w:afterLines="50"/>
        <w:rPr>
          <w:rFonts w:ascii="楷体_GB2312" w:hAnsi="Times New Roman" w:eastAsia="楷体_GB2312" w:cs="楷体_GB2312"/>
        </w:rPr>
      </w:pPr>
    </w:p>
    <w:p>
      <w:pPr>
        <w:keepNext/>
        <w:keepLines/>
        <w:widowControl/>
        <w:adjustRightInd w:val="0"/>
        <w:spacing w:before="20" w:after="20"/>
        <w:outlineLvl w:val="1"/>
        <w:rPr>
          <w:rFonts w:eastAsia="黑体"/>
          <w:b/>
          <w:sz w:val="24"/>
        </w:rPr>
      </w:pPr>
      <w:bookmarkStart w:id="48" w:name="_Toc492904372"/>
      <w:bookmarkStart w:id="49" w:name="_Toc505346985"/>
      <w:bookmarkStart w:id="50" w:name="_Toc517190503"/>
      <w:r>
        <w:rPr>
          <w:rFonts w:eastAsia="黑体"/>
          <w:b/>
          <w:sz w:val="24"/>
        </w:rPr>
        <w:t xml:space="preserve">VI. The RMB </w:t>
      </w:r>
      <w:r>
        <w:rPr>
          <w:rFonts w:hint="eastAsia" w:eastAsia="黑体"/>
          <w:b/>
          <w:sz w:val="24"/>
        </w:rPr>
        <w:t>e</w:t>
      </w:r>
      <w:r>
        <w:rPr>
          <w:rFonts w:eastAsia="黑体"/>
          <w:b/>
          <w:sz w:val="24"/>
        </w:rPr>
        <w:t xml:space="preserve">xchange </w:t>
      </w:r>
      <w:r>
        <w:rPr>
          <w:rFonts w:hint="eastAsia" w:eastAsia="黑体"/>
          <w:b/>
          <w:sz w:val="24"/>
        </w:rPr>
        <w:t>r</w:t>
      </w:r>
      <w:r>
        <w:rPr>
          <w:rFonts w:eastAsia="黑体"/>
          <w:b/>
          <w:sz w:val="24"/>
        </w:rPr>
        <w:t xml:space="preserve">ate was </w:t>
      </w:r>
      <w:r>
        <w:rPr>
          <w:rFonts w:hint="eastAsia" w:eastAsia="黑体"/>
          <w:b/>
          <w:sz w:val="24"/>
        </w:rPr>
        <w:t>m</w:t>
      </w:r>
      <w:r>
        <w:rPr>
          <w:rFonts w:eastAsia="黑体"/>
          <w:b/>
          <w:sz w:val="24"/>
        </w:rPr>
        <w:t xml:space="preserve">ore </w:t>
      </w:r>
      <w:r>
        <w:rPr>
          <w:rFonts w:hint="eastAsia" w:eastAsia="黑体"/>
          <w:b/>
          <w:sz w:val="24"/>
        </w:rPr>
        <w:t>fl</w:t>
      </w:r>
      <w:r>
        <w:rPr>
          <w:rFonts w:eastAsia="黑体"/>
          <w:b/>
          <w:sz w:val="24"/>
        </w:rPr>
        <w:t xml:space="preserve">exible in </w:t>
      </w:r>
      <w:r>
        <w:rPr>
          <w:rFonts w:hint="eastAsia" w:eastAsia="黑体"/>
          <w:b/>
          <w:sz w:val="24"/>
        </w:rPr>
        <w:t>t</w:t>
      </w:r>
      <w:r>
        <w:rPr>
          <w:rFonts w:eastAsia="黑体"/>
          <w:b/>
          <w:sz w:val="24"/>
        </w:rPr>
        <w:t xml:space="preserve">erms of </w:t>
      </w:r>
      <w:r>
        <w:rPr>
          <w:rFonts w:hint="eastAsia" w:eastAsia="黑体"/>
          <w:b/>
          <w:sz w:val="24"/>
        </w:rPr>
        <w:t>t</w:t>
      </w:r>
      <w:r>
        <w:rPr>
          <w:rFonts w:eastAsia="黑体"/>
          <w:b/>
          <w:sz w:val="24"/>
        </w:rPr>
        <w:t xml:space="preserve">wo-way </w:t>
      </w:r>
      <w:bookmarkEnd w:id="48"/>
      <w:bookmarkEnd w:id="49"/>
      <w:r>
        <w:rPr>
          <w:rFonts w:hint="eastAsia" w:eastAsia="黑体"/>
          <w:b/>
          <w:sz w:val="24"/>
        </w:rPr>
        <w:t>f</w:t>
      </w:r>
      <w:r>
        <w:rPr>
          <w:rFonts w:eastAsia="黑体"/>
          <w:b/>
          <w:sz w:val="24"/>
        </w:rPr>
        <w:t>luctuations.</w:t>
      </w:r>
      <w:bookmarkEnd w:id="50"/>
    </w:p>
    <w:p>
      <w:pPr>
        <w:spacing w:line="440" w:lineRule="exact"/>
        <w:rPr>
          <w:rFonts w:eastAsia="仿宋_GB2312"/>
          <w:sz w:val="24"/>
        </w:rPr>
      </w:pPr>
      <w:r>
        <w:rPr>
          <w:rFonts w:eastAsia="仿宋_GB2312"/>
          <w:b/>
          <w:sz w:val="24"/>
        </w:rPr>
        <w:t>The flexibility of the RMB exchange rate against the USD strengthened further and with stronger two-way fluctuations. Exchange-rate expectations remained well anchored.</w:t>
      </w:r>
      <w:r>
        <w:rPr>
          <w:rFonts w:eastAsia="仿宋_GB2312"/>
          <w:sz w:val="24"/>
        </w:rPr>
        <w:t xml:space="preserve"> </w:t>
      </w:r>
      <w:r>
        <w:rPr>
          <w:rFonts w:hint="eastAsia" w:eastAsia="仿宋_GB2312"/>
          <w:sz w:val="24"/>
        </w:rPr>
        <w:t xml:space="preserve"> In Q1</w:t>
      </w:r>
      <w:r>
        <w:rPr>
          <w:rFonts w:eastAsia="仿宋_GB2312"/>
          <w:sz w:val="24"/>
        </w:rPr>
        <w:t>, as the USD weakened most of the major currencies appreciated against the USD, and the RMB exchange rate strengthened against the USD</w:t>
      </w:r>
      <w:r>
        <w:rPr>
          <w:rFonts w:hint="eastAsia" w:eastAsia="仿宋_GB2312"/>
          <w:sz w:val="24"/>
        </w:rPr>
        <w:t xml:space="preserve"> </w:t>
      </w:r>
      <w:r>
        <w:rPr>
          <w:rFonts w:eastAsia="仿宋_GB2312"/>
          <w:sz w:val="24"/>
        </w:rPr>
        <w:t>while</w:t>
      </w:r>
      <w:r>
        <w:rPr>
          <w:rFonts w:hint="eastAsia" w:eastAsia="仿宋_GB2312"/>
          <w:sz w:val="24"/>
        </w:rPr>
        <w:t xml:space="preserve"> remain</w:t>
      </w:r>
      <w:r>
        <w:rPr>
          <w:rFonts w:eastAsia="仿宋_GB2312"/>
          <w:sz w:val="24"/>
        </w:rPr>
        <w:t>ing</w:t>
      </w:r>
      <w:r>
        <w:rPr>
          <w:rFonts w:hint="eastAsia" w:eastAsia="仿宋_GB2312"/>
          <w:sz w:val="24"/>
        </w:rPr>
        <w:t xml:space="preserve"> stable against a basket of currencies</w:t>
      </w:r>
      <w:r>
        <w:rPr>
          <w:rFonts w:eastAsia="仿宋_GB2312"/>
          <w:sz w:val="24"/>
        </w:rPr>
        <w:t>. At end</w:t>
      </w:r>
      <w:r>
        <w:rPr>
          <w:rFonts w:hint="eastAsia"/>
          <w:sz w:val="24"/>
        </w:rPr>
        <w:t xml:space="preserve">-March </w:t>
      </w:r>
      <w:r>
        <w:rPr>
          <w:rFonts w:hint="eastAsia" w:eastAsia="仿宋_GB2312"/>
          <w:sz w:val="24"/>
        </w:rPr>
        <w:t>2018</w:t>
      </w:r>
      <w:r>
        <w:rPr>
          <w:rFonts w:eastAsia="仿宋_GB2312"/>
          <w:sz w:val="24"/>
        </w:rPr>
        <w:t>, the CFETS RMB exchange-rate index closed at 9</w:t>
      </w:r>
      <w:r>
        <w:rPr>
          <w:rFonts w:hint="eastAsia" w:eastAsia="仿宋_GB2312"/>
          <w:sz w:val="24"/>
        </w:rPr>
        <w:t>6</w:t>
      </w:r>
      <w:r>
        <w:rPr>
          <w:rFonts w:eastAsia="仿宋_GB2312"/>
          <w:sz w:val="24"/>
        </w:rPr>
        <w:t>.</w:t>
      </w:r>
      <w:r>
        <w:rPr>
          <w:rFonts w:hint="eastAsia" w:eastAsia="仿宋_GB2312"/>
          <w:sz w:val="24"/>
        </w:rPr>
        <w:t>73</w:t>
      </w:r>
      <w:r>
        <w:rPr>
          <w:rFonts w:eastAsia="仿宋_GB2312"/>
          <w:sz w:val="24"/>
        </w:rPr>
        <w:t xml:space="preserve">, </w:t>
      </w:r>
      <w:r>
        <w:rPr>
          <w:rFonts w:hint="eastAsia" w:eastAsia="仿宋_GB2312"/>
          <w:sz w:val="24"/>
        </w:rPr>
        <w:t>up</w:t>
      </w:r>
      <w:r>
        <w:rPr>
          <w:rFonts w:eastAsia="仿宋_GB2312"/>
          <w:sz w:val="24"/>
        </w:rPr>
        <w:t xml:space="preserve"> </w:t>
      </w:r>
      <w:r>
        <w:rPr>
          <w:rFonts w:hint="eastAsia" w:eastAsia="仿宋_GB2312"/>
          <w:sz w:val="24"/>
        </w:rPr>
        <w:t>1.98</w:t>
      </w:r>
      <w:r>
        <w:rPr>
          <w:rFonts w:eastAsia="仿宋_GB2312"/>
          <w:sz w:val="24"/>
        </w:rPr>
        <w:t xml:space="preserve"> percent from end</w:t>
      </w:r>
      <w:r>
        <w:rPr>
          <w:rFonts w:hint="eastAsia"/>
          <w:sz w:val="24"/>
        </w:rPr>
        <w:t>-</w:t>
      </w:r>
      <w:r>
        <w:rPr>
          <w:rFonts w:eastAsia="仿宋_GB2312"/>
          <w:sz w:val="24"/>
        </w:rPr>
        <w:t>201</w:t>
      </w:r>
      <w:r>
        <w:rPr>
          <w:rFonts w:hint="eastAsia" w:eastAsia="仿宋_GB2312"/>
          <w:sz w:val="24"/>
        </w:rPr>
        <w:t>7</w:t>
      </w:r>
      <w:r>
        <w:rPr>
          <w:rFonts w:eastAsia="仿宋_GB2312"/>
          <w:sz w:val="24"/>
        </w:rPr>
        <w:t>; the RMB exchange-rate index, based on the Bank for International Settlements (BIS) basket and the SDR basket, closed at 9</w:t>
      </w:r>
      <w:r>
        <w:rPr>
          <w:rFonts w:hint="eastAsia" w:eastAsia="仿宋_GB2312"/>
          <w:sz w:val="24"/>
        </w:rPr>
        <w:t>7</w:t>
      </w:r>
      <w:r>
        <w:rPr>
          <w:rFonts w:eastAsia="仿宋_GB2312"/>
          <w:sz w:val="24"/>
        </w:rPr>
        <w:t>.</w:t>
      </w:r>
      <w:r>
        <w:rPr>
          <w:rFonts w:hint="eastAsia" w:eastAsia="仿宋_GB2312"/>
          <w:sz w:val="24"/>
        </w:rPr>
        <w:t>79</w:t>
      </w:r>
      <w:r>
        <w:rPr>
          <w:rFonts w:eastAsia="仿宋_GB2312"/>
          <w:sz w:val="24"/>
        </w:rPr>
        <w:t xml:space="preserve"> and 9</w:t>
      </w:r>
      <w:r>
        <w:rPr>
          <w:rFonts w:hint="eastAsia" w:eastAsia="仿宋_GB2312"/>
          <w:sz w:val="24"/>
        </w:rPr>
        <w:t>9.31</w:t>
      </w:r>
      <w:r>
        <w:rPr>
          <w:rFonts w:eastAsia="仿宋_GB2312"/>
          <w:sz w:val="24"/>
        </w:rPr>
        <w:t xml:space="preserve">, respectively. According to calculations by the BIS, the NEER and REER of the RMB depreciated by </w:t>
      </w:r>
      <w:r>
        <w:rPr>
          <w:rFonts w:hint="eastAsia" w:eastAsia="仿宋_GB2312"/>
          <w:sz w:val="24"/>
        </w:rPr>
        <w:t xml:space="preserve">3.54 </w:t>
      </w:r>
      <w:r>
        <w:rPr>
          <w:rFonts w:eastAsia="仿宋_GB2312"/>
          <w:sz w:val="24"/>
        </w:rPr>
        <w:t xml:space="preserve">percent and </w:t>
      </w:r>
      <w:r>
        <w:rPr>
          <w:rFonts w:hint="eastAsia" w:eastAsia="仿宋_GB2312"/>
          <w:sz w:val="24"/>
        </w:rPr>
        <w:t>3.45</w:t>
      </w:r>
      <w:r>
        <w:rPr>
          <w:rFonts w:eastAsia="仿宋_GB2312"/>
          <w:sz w:val="24"/>
        </w:rPr>
        <w:t xml:space="preserve"> percent, respectively, </w:t>
      </w:r>
      <w:r>
        <w:rPr>
          <w:rFonts w:hint="eastAsia" w:eastAsia="仿宋_GB2312"/>
          <w:sz w:val="24"/>
        </w:rPr>
        <w:t>in Q1</w:t>
      </w:r>
      <w:r>
        <w:rPr>
          <w:rFonts w:eastAsia="仿宋_GB2312"/>
          <w:sz w:val="24"/>
        </w:rPr>
        <w:t xml:space="preserve">. </w:t>
      </w:r>
      <w:r>
        <w:rPr>
          <w:rFonts w:hint="eastAsia" w:eastAsia="仿宋_GB2312"/>
          <w:sz w:val="24"/>
        </w:rPr>
        <w:t xml:space="preserve">At end-March 2018, </w:t>
      </w:r>
      <w:r>
        <w:rPr>
          <w:rFonts w:eastAsia="仿宋_GB2312"/>
          <w:sz w:val="24"/>
        </w:rPr>
        <w:t>the central parity of the RMB against the USD was 6.</w:t>
      </w:r>
      <w:r>
        <w:rPr>
          <w:rFonts w:hint="eastAsia" w:eastAsia="仿宋_GB2312"/>
          <w:sz w:val="24"/>
        </w:rPr>
        <w:t>2881</w:t>
      </w:r>
      <w:r>
        <w:rPr>
          <w:rFonts w:eastAsia="仿宋_GB2312"/>
          <w:sz w:val="24"/>
        </w:rPr>
        <w:t xml:space="preserve">, an appreciation of </w:t>
      </w:r>
      <w:r>
        <w:rPr>
          <w:rFonts w:hint="eastAsia" w:eastAsia="仿宋_GB2312"/>
          <w:sz w:val="24"/>
        </w:rPr>
        <w:t>3.91</w:t>
      </w:r>
      <w:r>
        <w:rPr>
          <w:rFonts w:eastAsia="仿宋_GB2312"/>
          <w:sz w:val="24"/>
        </w:rPr>
        <w:t xml:space="preserve"> percent</w:t>
      </w:r>
      <w:r>
        <w:rPr>
          <w:rFonts w:hint="eastAsia" w:eastAsia="仿宋_GB2312"/>
          <w:sz w:val="24"/>
        </w:rPr>
        <w:t xml:space="preserve"> </w:t>
      </w:r>
      <w:r>
        <w:rPr>
          <w:rFonts w:eastAsia="仿宋_GB2312"/>
          <w:sz w:val="24"/>
        </w:rPr>
        <w:t>from the end of 201</w:t>
      </w:r>
      <w:r>
        <w:rPr>
          <w:rFonts w:hint="eastAsia" w:eastAsia="仿宋_GB2312"/>
          <w:sz w:val="24"/>
        </w:rPr>
        <w:t>7</w:t>
      </w:r>
      <w:r>
        <w:rPr>
          <w:rFonts w:eastAsia="仿宋_GB2312"/>
          <w:sz w:val="24"/>
        </w:rPr>
        <w:t xml:space="preserve">. </w:t>
      </w:r>
      <w:r>
        <w:rPr>
          <w:rFonts w:hint="eastAsia" w:eastAsia="仿宋_GB2312"/>
          <w:sz w:val="24"/>
        </w:rPr>
        <w:t xml:space="preserve">Since April, the RMB has weakened. As of May 11, </w:t>
      </w:r>
      <w:r>
        <w:rPr>
          <w:rFonts w:eastAsia="仿宋_GB2312"/>
          <w:sz w:val="24"/>
        </w:rPr>
        <w:t>the central parity of the RMB against the USD</w:t>
      </w:r>
      <w:r>
        <w:rPr>
          <w:rFonts w:hint="eastAsia" w:eastAsia="仿宋_GB2312"/>
          <w:sz w:val="24"/>
        </w:rPr>
        <w:t xml:space="preserve"> posted 6.3524, </w:t>
      </w:r>
      <w:r>
        <w:rPr>
          <w:rFonts w:eastAsia="仿宋_GB2312"/>
          <w:sz w:val="24"/>
        </w:rPr>
        <w:t xml:space="preserve">a </w:t>
      </w:r>
      <w:r>
        <w:rPr>
          <w:rFonts w:hint="eastAsia" w:eastAsia="仿宋_GB2312"/>
          <w:sz w:val="24"/>
        </w:rPr>
        <w:t>depreciation</w:t>
      </w:r>
      <w:r>
        <w:rPr>
          <w:rFonts w:eastAsia="仿宋_GB2312"/>
          <w:sz w:val="24"/>
        </w:rPr>
        <w:t xml:space="preserve"> of </w:t>
      </w:r>
      <w:r>
        <w:rPr>
          <w:rFonts w:hint="eastAsia" w:eastAsia="仿宋_GB2312"/>
          <w:sz w:val="24"/>
        </w:rPr>
        <w:t>1.01</w:t>
      </w:r>
      <w:r>
        <w:rPr>
          <w:rFonts w:eastAsia="仿宋_GB2312"/>
          <w:sz w:val="24"/>
        </w:rPr>
        <w:t xml:space="preserve"> </w:t>
      </w:r>
      <w:r>
        <w:rPr>
          <w:rFonts w:hint="eastAsia" w:eastAsia="仿宋_GB2312"/>
          <w:sz w:val="24"/>
        </w:rPr>
        <w:t xml:space="preserve">percent </w:t>
      </w:r>
      <w:r>
        <w:rPr>
          <w:rFonts w:eastAsia="仿宋_GB2312"/>
          <w:sz w:val="24"/>
        </w:rPr>
        <w:t>from end</w:t>
      </w:r>
      <w:r>
        <w:rPr>
          <w:rFonts w:hint="eastAsia" w:eastAsia="仿宋_GB2312"/>
          <w:sz w:val="24"/>
        </w:rPr>
        <w:t xml:space="preserve">-March and an appreciation of 2.86 </w:t>
      </w:r>
      <w:r>
        <w:rPr>
          <w:rFonts w:eastAsia="仿宋_GB2312"/>
          <w:sz w:val="24"/>
        </w:rPr>
        <w:t>percent</w:t>
      </w:r>
      <w:r>
        <w:rPr>
          <w:rFonts w:hint="eastAsia" w:eastAsia="仿宋_GB2312"/>
          <w:sz w:val="24"/>
        </w:rPr>
        <w:t xml:space="preserve"> from the end of 2017. In Q1, the volatility rate of the central parity of the RMB against the USD was 4.05 percent, close to the level of some Asian currencies. </w:t>
      </w:r>
      <w:r>
        <w:rPr>
          <w:rFonts w:eastAsia="仿宋_GB2312"/>
          <w:sz w:val="24"/>
        </w:rPr>
        <w:t>Due</w:t>
      </w:r>
      <w:r>
        <w:rPr>
          <w:rFonts w:hint="eastAsia" w:eastAsia="仿宋_GB2312"/>
          <w:sz w:val="24"/>
        </w:rPr>
        <w:t xml:space="preserve"> to greater flexibility </w:t>
      </w:r>
      <w:r>
        <w:rPr>
          <w:rFonts w:eastAsia="仿宋_GB2312"/>
          <w:sz w:val="24"/>
        </w:rPr>
        <w:t>in the</w:t>
      </w:r>
      <w:r>
        <w:rPr>
          <w:rFonts w:hint="eastAsia" w:eastAsia="仿宋_GB2312"/>
          <w:sz w:val="24"/>
        </w:rPr>
        <w:t xml:space="preserve"> RMB exchange rate, market expectations </w:t>
      </w:r>
      <w:r>
        <w:rPr>
          <w:rFonts w:eastAsia="仿宋_GB2312"/>
          <w:sz w:val="24"/>
        </w:rPr>
        <w:t xml:space="preserve">differed </w:t>
      </w:r>
      <w:r>
        <w:rPr>
          <w:rFonts w:hint="eastAsia" w:eastAsia="仿宋_GB2312"/>
          <w:sz w:val="24"/>
        </w:rPr>
        <w:t xml:space="preserve">and </w:t>
      </w:r>
      <w:r>
        <w:rPr>
          <w:rFonts w:eastAsia="仿宋_GB2312"/>
          <w:sz w:val="24"/>
        </w:rPr>
        <w:t xml:space="preserve">the </w:t>
      </w:r>
      <w:r>
        <w:rPr>
          <w:rFonts w:hint="eastAsia" w:eastAsia="仿宋_GB2312"/>
          <w:sz w:val="24"/>
        </w:rPr>
        <w:t xml:space="preserve">exchange rate played </w:t>
      </w:r>
      <w:r>
        <w:rPr>
          <w:rFonts w:eastAsia="仿宋_GB2312"/>
          <w:sz w:val="24"/>
        </w:rPr>
        <w:t xml:space="preserve">an automatic stabilizer </w:t>
      </w:r>
      <w:r>
        <w:rPr>
          <w:rFonts w:hint="eastAsia" w:eastAsia="仿宋_GB2312"/>
          <w:sz w:val="24"/>
        </w:rPr>
        <w:t>role</w:t>
      </w:r>
      <w:r>
        <w:rPr>
          <w:rFonts w:eastAsia="仿宋_GB2312"/>
          <w:sz w:val="24"/>
        </w:rPr>
        <w:t>.</w:t>
      </w:r>
    </w:p>
    <w:p>
      <w:pPr>
        <w:spacing w:line="440" w:lineRule="exact"/>
        <w:ind w:firstLine="560" w:firstLineChars="200"/>
        <w:rPr>
          <w:rFonts w:ascii="仿宋_GB2312" w:eastAsia="仿宋_GB2312"/>
          <w:sz w:val="28"/>
        </w:rPr>
      </w:pPr>
    </w:p>
    <w:p>
      <w:pPr>
        <w:keepNext/>
        <w:widowControl/>
        <w:spacing w:after="240" w:line="440" w:lineRule="exact"/>
        <w:outlineLvl w:val="1"/>
        <w:rPr>
          <w:rFonts w:eastAsia="黑体"/>
          <w:b/>
          <w:bCs/>
          <w:iCs/>
          <w:kern w:val="0"/>
          <w:sz w:val="24"/>
        </w:rPr>
      </w:pPr>
      <w:bookmarkStart w:id="51" w:name="_Toc505346986"/>
      <w:bookmarkStart w:id="52" w:name="_Toc492904373"/>
      <w:bookmarkStart w:id="53" w:name="_Toc517190504"/>
      <w:r>
        <w:rPr>
          <w:rFonts w:eastAsia="黑体"/>
          <w:b/>
          <w:bCs/>
          <w:iCs/>
          <w:kern w:val="0"/>
          <w:sz w:val="24"/>
          <w:lang w:eastAsia="zh-TW"/>
        </w:rPr>
        <w:t xml:space="preserve">VII. Cross-border RMB </w:t>
      </w:r>
      <w:bookmarkEnd w:id="51"/>
      <w:bookmarkEnd w:id="52"/>
      <w:r>
        <w:rPr>
          <w:rFonts w:hint="eastAsia" w:eastAsia="黑体"/>
          <w:b/>
          <w:bCs/>
          <w:iCs/>
          <w:kern w:val="0"/>
          <w:sz w:val="24"/>
        </w:rPr>
        <w:t>business</w:t>
      </w:r>
      <w:r>
        <w:rPr>
          <w:rFonts w:eastAsia="黑体"/>
          <w:b/>
          <w:bCs/>
          <w:iCs/>
          <w:kern w:val="0"/>
          <w:sz w:val="24"/>
        </w:rPr>
        <w:t>es</w:t>
      </w:r>
      <w:r>
        <w:rPr>
          <w:rFonts w:hint="eastAsia" w:eastAsia="黑体"/>
          <w:b/>
          <w:bCs/>
          <w:iCs/>
          <w:kern w:val="0"/>
          <w:sz w:val="24"/>
        </w:rPr>
        <w:t xml:space="preserve"> saw stable development</w:t>
      </w:r>
      <w:bookmarkEnd w:id="53"/>
    </w:p>
    <w:p>
      <w:pPr>
        <w:spacing w:line="440" w:lineRule="exact"/>
        <w:rPr>
          <w:rFonts w:eastAsia="仿宋_GB2312"/>
          <w:sz w:val="24"/>
        </w:rPr>
      </w:pPr>
      <w:r>
        <w:rPr>
          <w:rFonts w:hint="eastAsia" w:eastAsia="仿宋_GB2312"/>
          <w:sz w:val="24"/>
        </w:rPr>
        <w:t>In Q1</w:t>
      </w:r>
      <w:r>
        <w:rPr>
          <w:rFonts w:eastAsia="仿宋_GB2312"/>
          <w:sz w:val="24"/>
        </w:rPr>
        <w:t xml:space="preserve">, cross-border receipts and payments in RMB totaled RMB </w:t>
      </w:r>
      <w:r>
        <w:rPr>
          <w:rFonts w:hint="eastAsia" w:eastAsia="仿宋_GB2312"/>
          <w:sz w:val="24"/>
        </w:rPr>
        <w:t>3.15</w:t>
      </w:r>
      <w:r>
        <w:rPr>
          <w:rFonts w:eastAsia="仿宋_GB2312"/>
          <w:sz w:val="24"/>
        </w:rPr>
        <w:t xml:space="preserve"> trillion</w:t>
      </w:r>
      <w:r>
        <w:rPr>
          <w:rFonts w:hint="eastAsia" w:eastAsia="仿宋_GB2312"/>
          <w:sz w:val="24"/>
        </w:rPr>
        <w:t xml:space="preserve">, up 87.1 percent year on year. </w:t>
      </w:r>
      <w:r>
        <w:rPr>
          <w:rFonts w:eastAsia="仿宋_GB2312"/>
          <w:sz w:val="24"/>
        </w:rPr>
        <w:t xml:space="preserve">In particular, RMB receipts registered RMB </w:t>
      </w:r>
      <w:r>
        <w:rPr>
          <w:rFonts w:hint="eastAsia" w:eastAsia="仿宋_GB2312"/>
          <w:sz w:val="24"/>
        </w:rPr>
        <w:t>1.65</w:t>
      </w:r>
      <w:r>
        <w:rPr>
          <w:rFonts w:eastAsia="仿宋_GB2312"/>
          <w:sz w:val="24"/>
        </w:rPr>
        <w:t xml:space="preserve"> trillion</w:t>
      </w:r>
      <w:r>
        <w:rPr>
          <w:rFonts w:hint="eastAsia" w:eastAsia="仿宋_GB2312"/>
          <w:sz w:val="24"/>
        </w:rPr>
        <w:t xml:space="preserve">, up 113 percent year on year; </w:t>
      </w:r>
      <w:r>
        <w:rPr>
          <w:rFonts w:eastAsia="仿宋_GB2312"/>
          <w:sz w:val="24"/>
        </w:rPr>
        <w:t xml:space="preserve">RMB </w:t>
      </w:r>
      <w:r>
        <w:rPr>
          <w:rFonts w:hint="eastAsia" w:eastAsia="仿宋_GB2312"/>
          <w:sz w:val="24"/>
        </w:rPr>
        <w:t xml:space="preserve">payments </w:t>
      </w:r>
      <w:r>
        <w:rPr>
          <w:rFonts w:eastAsia="仿宋_GB2312"/>
          <w:sz w:val="24"/>
        </w:rPr>
        <w:t xml:space="preserve">registered RMB </w:t>
      </w:r>
      <w:r>
        <w:rPr>
          <w:rFonts w:hint="eastAsia" w:eastAsia="仿宋_GB2312"/>
          <w:sz w:val="24"/>
        </w:rPr>
        <w:t>1.5</w:t>
      </w:r>
      <w:r>
        <w:rPr>
          <w:rFonts w:eastAsia="仿宋_GB2312"/>
          <w:sz w:val="24"/>
        </w:rPr>
        <w:t xml:space="preserve"> trillion</w:t>
      </w:r>
      <w:r>
        <w:rPr>
          <w:rFonts w:hint="eastAsia" w:eastAsia="仿宋_GB2312"/>
          <w:sz w:val="24"/>
        </w:rPr>
        <w:t xml:space="preserve">, up 65.4 percent year on year. </w:t>
      </w:r>
      <w:r>
        <w:rPr>
          <w:rFonts w:eastAsia="仿宋_GB2312"/>
          <w:sz w:val="24"/>
        </w:rPr>
        <w:t xml:space="preserve">RMB cross-border receipts and payments under the current account posted RMB </w:t>
      </w:r>
      <w:r>
        <w:rPr>
          <w:rFonts w:hint="eastAsia" w:eastAsia="仿宋_GB2312"/>
          <w:sz w:val="24"/>
        </w:rPr>
        <w:t>1.06</w:t>
      </w:r>
      <w:r>
        <w:rPr>
          <w:rFonts w:eastAsia="仿宋_GB2312"/>
          <w:sz w:val="24"/>
        </w:rPr>
        <w:t xml:space="preserve"> trillion</w:t>
      </w:r>
      <w:r>
        <w:rPr>
          <w:rFonts w:hint="eastAsia" w:eastAsia="仿宋_GB2312"/>
          <w:sz w:val="24"/>
        </w:rPr>
        <w:t xml:space="preserve">, up 6.5 percent year on year. </w:t>
      </w:r>
      <w:r>
        <w:rPr>
          <w:rFonts w:eastAsia="仿宋_GB2312"/>
          <w:sz w:val="24"/>
        </w:rPr>
        <w:t xml:space="preserve">In particular, settlements of trade in goods registered RMB </w:t>
      </w:r>
      <w:r>
        <w:rPr>
          <w:rFonts w:hint="eastAsia" w:eastAsia="仿宋_GB2312"/>
          <w:sz w:val="24"/>
        </w:rPr>
        <w:t>797.05</w:t>
      </w:r>
      <w:r>
        <w:rPr>
          <w:rFonts w:eastAsia="仿宋_GB2312"/>
          <w:sz w:val="24"/>
        </w:rPr>
        <w:t xml:space="preserve"> </w:t>
      </w:r>
      <w:r>
        <w:rPr>
          <w:rFonts w:hint="eastAsia" w:eastAsia="仿宋_GB2312"/>
          <w:sz w:val="24"/>
        </w:rPr>
        <w:t>billion</w:t>
      </w:r>
      <w:r>
        <w:rPr>
          <w:rFonts w:eastAsia="仿宋_GB2312"/>
          <w:sz w:val="24"/>
        </w:rPr>
        <w:t xml:space="preserve">, whereas settlements of trade in services and other items registered RMB </w:t>
      </w:r>
      <w:r>
        <w:rPr>
          <w:rFonts w:hint="eastAsia" w:eastAsia="仿宋_GB2312"/>
          <w:sz w:val="24"/>
        </w:rPr>
        <w:t>261.93 billion</w:t>
      </w:r>
      <w:r>
        <w:rPr>
          <w:rFonts w:eastAsia="仿宋_GB2312"/>
          <w:sz w:val="24"/>
        </w:rPr>
        <w:t xml:space="preserve">. RMB cross-border receipts and payments under the </w:t>
      </w:r>
      <w:r>
        <w:rPr>
          <w:rFonts w:hint="eastAsia" w:eastAsia="仿宋_GB2312"/>
          <w:sz w:val="24"/>
        </w:rPr>
        <w:t>capital</w:t>
      </w:r>
      <w:r>
        <w:rPr>
          <w:rFonts w:eastAsia="仿宋_GB2312"/>
          <w:sz w:val="24"/>
        </w:rPr>
        <w:t xml:space="preserve"> account posted RMB </w:t>
      </w:r>
      <w:r>
        <w:rPr>
          <w:rFonts w:hint="eastAsia" w:eastAsia="仿宋_GB2312"/>
          <w:sz w:val="24"/>
        </w:rPr>
        <w:t>2.09</w:t>
      </w:r>
      <w:r>
        <w:rPr>
          <w:rFonts w:eastAsia="仿宋_GB2312"/>
          <w:sz w:val="24"/>
        </w:rPr>
        <w:t xml:space="preserve"> trillion</w:t>
      </w:r>
      <w:r>
        <w:rPr>
          <w:rFonts w:hint="eastAsia" w:eastAsia="仿宋_GB2312"/>
          <w:sz w:val="24"/>
        </w:rPr>
        <w:t>, up 203 percent year on year</w:t>
      </w:r>
      <w:r>
        <w:rPr>
          <w:rFonts w:eastAsia="仿宋_GB2312"/>
          <w:sz w:val="24"/>
        </w:rPr>
        <w:t>.</w:t>
      </w:r>
      <w:bookmarkStart w:id="54" w:name="_Toc261012927"/>
      <w:bookmarkEnd w:id="54"/>
      <w:bookmarkStart w:id="55" w:name="_Toc502049369"/>
    </w:p>
    <w:p>
      <w:pPr>
        <w:widowControl/>
        <w:jc w:val="left"/>
        <w:rPr>
          <w:rFonts w:cstheme="minorBidi"/>
          <w:color w:val="FF0000"/>
        </w:rPr>
      </w:pPr>
      <w:r>
        <w:rPr>
          <w:rFonts w:cstheme="minorBidi"/>
          <w:color w:val="FF0000"/>
        </w:rPr>
        <w:br w:type="page"/>
      </w:r>
    </w:p>
    <w:p>
      <w:pPr>
        <w:spacing w:line="440" w:lineRule="exact"/>
        <w:rPr>
          <w:b/>
          <w:sz w:val="24"/>
        </w:rPr>
      </w:pPr>
      <w:r>
        <w:rPr>
          <w:b/>
          <w:sz w:val="24"/>
        </w:rPr>
        <w:drawing>
          <wp:inline distT="0" distB="0" distL="0" distR="0">
            <wp:extent cx="3871595" cy="292608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71595" cy="2926080"/>
                    </a:xfrm>
                    <a:prstGeom prst="rect">
                      <a:avLst/>
                    </a:prstGeom>
                    <a:noFill/>
                  </pic:spPr>
                </pic:pic>
              </a:graphicData>
            </a:graphic>
          </wp:inline>
        </w:drawing>
      </w:r>
    </w:p>
    <w:p>
      <w:pPr>
        <w:spacing w:line="440" w:lineRule="exact"/>
      </w:pPr>
      <w:bookmarkStart w:id="56" w:name="_Toc517190900"/>
      <w:r>
        <w:rPr>
          <w:b/>
          <w:sz w:val="24"/>
        </w:rPr>
        <w:t xml:space="preserve">Figure </w:t>
      </w:r>
      <w:r>
        <w:rPr>
          <w:b/>
          <w:sz w:val="24"/>
        </w:rPr>
        <w:fldChar w:fldCharType="begin"/>
      </w:r>
      <w:r>
        <w:rPr>
          <w:b/>
          <w:sz w:val="24"/>
        </w:rPr>
        <w:instrText xml:space="preserve"> SEQ Figure \* ARABIC </w:instrText>
      </w:r>
      <w:r>
        <w:rPr>
          <w:b/>
          <w:sz w:val="24"/>
        </w:rPr>
        <w:fldChar w:fldCharType="separate"/>
      </w:r>
      <w:r>
        <w:rPr>
          <w:b/>
          <w:sz w:val="24"/>
        </w:rPr>
        <w:t>2</w:t>
      </w:r>
      <w:r>
        <w:rPr>
          <w:b/>
          <w:sz w:val="24"/>
        </w:rPr>
        <w:fldChar w:fldCharType="end"/>
      </w:r>
      <w:r>
        <w:rPr>
          <w:b/>
          <w:sz w:val="24"/>
        </w:rPr>
        <w:t>. Monthly RMB Payments and Receipts under the Current Account</w:t>
      </w:r>
      <w:bookmarkEnd w:id="55"/>
      <w:bookmarkEnd w:id="56"/>
    </w:p>
    <w:p>
      <w:pPr>
        <w:rPr>
          <w:szCs w:val="21"/>
        </w:rPr>
      </w:pPr>
    </w:p>
    <w:p>
      <w:pPr>
        <w:rPr>
          <w:szCs w:val="21"/>
        </w:rPr>
      </w:pPr>
      <w:r>
        <w:rPr>
          <w:szCs w:val="21"/>
        </w:rPr>
        <w:drawing>
          <wp:inline distT="0" distB="0" distL="0" distR="0">
            <wp:extent cx="4974590" cy="292608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74590" cy="2926080"/>
                    </a:xfrm>
                    <a:prstGeom prst="rect">
                      <a:avLst/>
                    </a:prstGeom>
                    <a:noFill/>
                  </pic:spPr>
                </pic:pic>
              </a:graphicData>
            </a:graphic>
          </wp:inline>
        </w:drawing>
      </w:r>
    </w:p>
    <w:p>
      <w:pPr>
        <w:rPr>
          <w:sz w:val="24"/>
        </w:rPr>
      </w:pPr>
      <w:r>
        <w:tab/>
      </w:r>
      <w:r>
        <w:rPr>
          <w:sz w:val="24"/>
        </w:rPr>
        <w:t>Source: People’s Bank of China.</w:t>
      </w:r>
    </w:p>
    <w:p>
      <w:pPr>
        <w:rPr>
          <w:sz w:val="24"/>
        </w:rPr>
      </w:pPr>
    </w:p>
    <w:p>
      <w:pPr>
        <w:pStyle w:val="26"/>
        <w:pBdr>
          <w:top w:val="none" w:color="auto" w:sz="0" w:space="0"/>
          <w:left w:val="none" w:color="auto" w:sz="0" w:space="0"/>
          <w:bottom w:val="none" w:color="auto" w:sz="0" w:space="0"/>
          <w:right w:val="none" w:color="auto" w:sz="0" w:space="0"/>
        </w:pBdr>
        <w:shd w:val="clear" w:color="auto" w:fill="CCFFCC"/>
        <w:spacing w:before="156" w:after="156"/>
        <w:rPr>
          <w:rFonts w:hint="default" w:ascii="Times New Roman"/>
          <w:b/>
          <w:bCs w:val="0"/>
          <w:sz w:val="24"/>
        </w:rPr>
      </w:pPr>
      <w:bookmarkStart w:id="57" w:name="_Toc517191133"/>
      <w:r>
        <w:rPr>
          <w:rFonts w:ascii="Times New Roman"/>
          <w:b/>
          <w:bCs w:val="0"/>
          <w:sz w:val="24"/>
        </w:rPr>
        <w:t xml:space="preserve">Box </w:t>
      </w:r>
      <w:r>
        <w:rPr>
          <w:rFonts w:hint="default" w:ascii="Times New Roman"/>
          <w:b/>
          <w:bCs w:val="0"/>
          <w:sz w:val="24"/>
        </w:rPr>
        <w:fldChar w:fldCharType="begin"/>
      </w:r>
      <w:r>
        <w:rPr>
          <w:rFonts w:hint="default" w:ascii="Times New Roman"/>
          <w:b/>
          <w:bCs w:val="0"/>
          <w:sz w:val="24"/>
        </w:rPr>
        <w:instrText xml:space="preserve"> </w:instrText>
      </w:r>
      <w:r>
        <w:rPr>
          <w:rFonts w:ascii="Times New Roman"/>
          <w:b/>
          <w:bCs w:val="0"/>
          <w:sz w:val="24"/>
        </w:rPr>
        <w:instrText xml:space="preserve">SEQ Box \* ARABIC</w:instrText>
      </w:r>
      <w:r>
        <w:rPr>
          <w:rFonts w:hint="default" w:ascii="Times New Roman"/>
          <w:b/>
          <w:bCs w:val="0"/>
          <w:sz w:val="24"/>
        </w:rPr>
        <w:instrText xml:space="preserve"> </w:instrText>
      </w:r>
      <w:r>
        <w:rPr>
          <w:rFonts w:hint="default" w:ascii="Times New Roman"/>
          <w:b/>
          <w:bCs w:val="0"/>
          <w:sz w:val="24"/>
        </w:rPr>
        <w:fldChar w:fldCharType="separate"/>
      </w:r>
      <w:r>
        <w:rPr>
          <w:rFonts w:hint="default" w:ascii="Times New Roman"/>
          <w:b/>
          <w:bCs w:val="0"/>
          <w:sz w:val="24"/>
        </w:rPr>
        <w:t>1</w:t>
      </w:r>
      <w:r>
        <w:rPr>
          <w:rFonts w:hint="default" w:ascii="Times New Roman"/>
          <w:b/>
          <w:bCs w:val="0"/>
          <w:sz w:val="24"/>
        </w:rPr>
        <w:fldChar w:fldCharType="end"/>
      </w:r>
      <w:r>
        <w:rPr>
          <w:rFonts w:ascii="Times New Roman"/>
          <w:b/>
          <w:bCs w:val="0"/>
          <w:sz w:val="24"/>
        </w:rPr>
        <w:t>. New Developments in RMB Internationalization</w:t>
      </w:r>
      <w:bookmarkEnd w:id="57"/>
    </w:p>
    <w:p>
      <w:pPr>
        <w:shd w:val="clear" w:color="auto" w:fill="CCFFCC"/>
        <w:rPr>
          <w:rFonts w:eastAsia="楷体_GB2312"/>
          <w:color w:val="000000"/>
          <w:sz w:val="24"/>
        </w:rPr>
      </w:pPr>
      <w:r>
        <w:rPr>
          <w:rFonts w:hint="eastAsia" w:eastAsia="楷体_GB2312"/>
          <w:color w:val="000000"/>
          <w:sz w:val="24"/>
        </w:rPr>
        <w:t>According to the decision</w:t>
      </w:r>
      <w:r>
        <w:rPr>
          <w:rFonts w:eastAsia="楷体_GB2312"/>
          <w:color w:val="000000"/>
          <w:sz w:val="24"/>
        </w:rPr>
        <w:t>s</w:t>
      </w:r>
      <w:r>
        <w:rPr>
          <w:rFonts w:hint="eastAsia" w:eastAsia="楷体_GB2312"/>
          <w:color w:val="000000"/>
          <w:sz w:val="24"/>
        </w:rPr>
        <w:t xml:space="preserve"> and arrangement</w:t>
      </w:r>
      <w:r>
        <w:rPr>
          <w:rFonts w:eastAsia="楷体_GB2312"/>
          <w:color w:val="000000"/>
          <w:sz w:val="24"/>
        </w:rPr>
        <w:t xml:space="preserve">s </w:t>
      </w:r>
      <w:r>
        <w:rPr>
          <w:rFonts w:hint="eastAsia" w:eastAsia="楷体_GB2312"/>
          <w:color w:val="000000"/>
          <w:sz w:val="24"/>
        </w:rPr>
        <w:t xml:space="preserve">of the </w:t>
      </w:r>
      <w:r>
        <w:rPr>
          <w:rFonts w:eastAsia="楷体_GB2312"/>
          <w:color w:val="000000"/>
          <w:sz w:val="24"/>
        </w:rPr>
        <w:t xml:space="preserve">Central Committee of the </w:t>
      </w:r>
      <w:r>
        <w:rPr>
          <w:rFonts w:hint="eastAsia" w:eastAsia="楷体_GB2312"/>
          <w:color w:val="000000"/>
          <w:sz w:val="24"/>
        </w:rPr>
        <w:t xml:space="preserve">Communist Party of China (CPC) and the State Council, on the basis of market </w:t>
      </w:r>
      <w:r>
        <w:rPr>
          <w:rFonts w:eastAsia="楷体_GB2312"/>
          <w:color w:val="000000"/>
          <w:sz w:val="24"/>
        </w:rPr>
        <w:t>decisions</w:t>
      </w:r>
      <w:r>
        <w:rPr>
          <w:rFonts w:hint="eastAsia" w:eastAsia="楷体_GB2312"/>
          <w:color w:val="000000"/>
          <w:sz w:val="24"/>
        </w:rPr>
        <w:t>, since 2009</w:t>
      </w:r>
      <w:r>
        <w:rPr>
          <w:rFonts w:eastAsia="楷体_GB2312"/>
          <w:color w:val="000000"/>
          <w:sz w:val="24"/>
        </w:rPr>
        <w:t xml:space="preserve"> </w:t>
      </w:r>
      <w:r>
        <w:rPr>
          <w:rFonts w:hint="eastAsia" w:eastAsia="楷体_GB2312"/>
          <w:color w:val="000000"/>
          <w:sz w:val="24"/>
        </w:rPr>
        <w:t>the People</w:t>
      </w:r>
      <w:r>
        <w:rPr>
          <w:rFonts w:eastAsia="楷体_GB2312"/>
          <w:color w:val="000000"/>
          <w:sz w:val="24"/>
        </w:rPr>
        <w:t>’</w:t>
      </w:r>
      <w:r>
        <w:rPr>
          <w:rFonts w:hint="eastAsia" w:eastAsia="楷体_GB2312"/>
          <w:color w:val="000000"/>
          <w:sz w:val="24"/>
        </w:rPr>
        <w:t xml:space="preserve">s Bank of China (PBC), together with other relevant ministries, has established and improved </w:t>
      </w:r>
      <w:r>
        <w:rPr>
          <w:rFonts w:eastAsia="楷体_GB2312"/>
          <w:color w:val="000000"/>
          <w:sz w:val="24"/>
        </w:rPr>
        <w:t xml:space="preserve">a </w:t>
      </w:r>
      <w:r>
        <w:rPr>
          <w:rFonts w:hint="eastAsia" w:eastAsia="楷体_GB2312"/>
          <w:color w:val="000000"/>
          <w:sz w:val="24"/>
        </w:rPr>
        <w:t xml:space="preserve">policy framework and infrastructure for cross-border and international use of </w:t>
      </w:r>
      <w:r>
        <w:rPr>
          <w:rFonts w:eastAsia="楷体_GB2312"/>
          <w:color w:val="000000"/>
          <w:sz w:val="24"/>
        </w:rPr>
        <w:t xml:space="preserve">the </w:t>
      </w:r>
      <w:r>
        <w:rPr>
          <w:rFonts w:hint="eastAsia" w:eastAsia="楷体_GB2312"/>
          <w:color w:val="000000"/>
          <w:sz w:val="24"/>
        </w:rPr>
        <w:t xml:space="preserve">RMB, with a focus on facilitating and liberalizing trade and investment. </w:t>
      </w:r>
      <w:r>
        <w:rPr>
          <w:rFonts w:eastAsia="楷体_GB2312"/>
          <w:color w:val="000000"/>
          <w:sz w:val="24"/>
        </w:rPr>
        <w:t>I</w:t>
      </w:r>
      <w:r>
        <w:rPr>
          <w:rFonts w:hint="eastAsia" w:eastAsia="楷体_GB2312"/>
          <w:color w:val="000000"/>
          <w:sz w:val="24"/>
        </w:rPr>
        <w:t xml:space="preserve">nternational use of </w:t>
      </w:r>
      <w:r>
        <w:rPr>
          <w:rFonts w:eastAsia="楷体_GB2312"/>
          <w:color w:val="000000"/>
          <w:sz w:val="24"/>
        </w:rPr>
        <w:t xml:space="preserve">the </w:t>
      </w:r>
      <w:r>
        <w:rPr>
          <w:rFonts w:hint="eastAsia" w:eastAsia="楷体_GB2312"/>
          <w:color w:val="000000"/>
          <w:sz w:val="24"/>
        </w:rPr>
        <w:t xml:space="preserve">RMB has expanded steadily. On October 1, 2016, </w:t>
      </w:r>
      <w:r>
        <w:rPr>
          <w:rFonts w:eastAsia="楷体_GB2312"/>
          <w:color w:val="000000"/>
          <w:sz w:val="24"/>
        </w:rPr>
        <w:t xml:space="preserve">the </w:t>
      </w:r>
      <w:r>
        <w:rPr>
          <w:rFonts w:hint="eastAsia" w:eastAsia="楷体_GB2312"/>
          <w:color w:val="000000"/>
          <w:sz w:val="24"/>
        </w:rPr>
        <w:t xml:space="preserve">RMB was officially included in the SDR basket of the International Monetary Fund (IMF), </w:t>
      </w:r>
      <w:r>
        <w:rPr>
          <w:rFonts w:eastAsia="楷体_GB2312"/>
          <w:color w:val="000000"/>
          <w:sz w:val="24"/>
        </w:rPr>
        <w:t xml:space="preserve">representing </w:t>
      </w:r>
      <w:r>
        <w:rPr>
          <w:rFonts w:hint="eastAsia" w:eastAsia="楷体_GB2312"/>
          <w:color w:val="000000"/>
          <w:sz w:val="24"/>
        </w:rPr>
        <w:t xml:space="preserve">a milestone in the </w:t>
      </w:r>
      <w:r>
        <w:rPr>
          <w:rFonts w:eastAsia="楷体_GB2312"/>
          <w:color w:val="000000"/>
          <w:sz w:val="24"/>
        </w:rPr>
        <w:t xml:space="preserve">process of </w:t>
      </w:r>
      <w:r>
        <w:rPr>
          <w:rFonts w:hint="eastAsia" w:eastAsia="楷体_GB2312"/>
          <w:color w:val="000000"/>
          <w:sz w:val="24"/>
        </w:rPr>
        <w:t>RMB internationalization. Since the beginning of 2018, RMB internationalization has made new progress, supported by further improve</w:t>
      </w:r>
      <w:r>
        <w:rPr>
          <w:rFonts w:eastAsia="楷体_GB2312"/>
          <w:color w:val="000000"/>
          <w:sz w:val="24"/>
        </w:rPr>
        <w:t>ments in</w:t>
      </w:r>
      <w:r>
        <w:rPr>
          <w:rFonts w:hint="eastAsia" w:eastAsia="楷体_GB2312"/>
          <w:color w:val="000000"/>
          <w:sz w:val="24"/>
        </w:rPr>
        <w:t xml:space="preserve"> policies and infrastructure for </w:t>
      </w:r>
      <w:r>
        <w:rPr>
          <w:rFonts w:eastAsia="楷体_GB2312"/>
          <w:color w:val="000000"/>
          <w:sz w:val="24"/>
        </w:rPr>
        <w:t xml:space="preserve">RMB </w:t>
      </w:r>
      <w:r>
        <w:rPr>
          <w:rFonts w:hint="eastAsia" w:eastAsia="楷体_GB2312"/>
          <w:color w:val="000000"/>
          <w:sz w:val="24"/>
        </w:rPr>
        <w:t>cross-border use.</w:t>
      </w:r>
    </w:p>
    <w:p>
      <w:pPr>
        <w:shd w:val="clear" w:color="auto" w:fill="CCFFCC"/>
        <w:rPr>
          <w:rFonts w:eastAsia="楷体_GB2312"/>
          <w:color w:val="000000"/>
          <w:sz w:val="24"/>
        </w:rPr>
      </w:pPr>
    </w:p>
    <w:p>
      <w:pPr>
        <w:shd w:val="clear" w:color="auto" w:fill="CCFFCC"/>
        <w:rPr>
          <w:rFonts w:eastAsia="楷体_GB2312"/>
          <w:b/>
          <w:bCs/>
          <w:color w:val="000000"/>
          <w:sz w:val="24"/>
        </w:rPr>
      </w:pPr>
      <w:r>
        <w:rPr>
          <w:rFonts w:hint="eastAsia" w:eastAsia="楷体_GB2312"/>
          <w:b/>
          <w:bCs/>
          <w:color w:val="000000"/>
          <w:sz w:val="24"/>
        </w:rPr>
        <w:t xml:space="preserve">1. </w:t>
      </w:r>
      <w:r>
        <w:rPr>
          <w:rFonts w:eastAsia="楷体_GB2312"/>
          <w:b/>
          <w:bCs/>
          <w:color w:val="000000"/>
          <w:sz w:val="24"/>
        </w:rPr>
        <w:t>I</w:t>
      </w:r>
      <w:r>
        <w:rPr>
          <w:rFonts w:hint="eastAsia" w:eastAsia="楷体_GB2312"/>
          <w:b/>
          <w:bCs/>
          <w:color w:val="000000"/>
          <w:sz w:val="24"/>
        </w:rPr>
        <w:t xml:space="preserve">nternational use of </w:t>
      </w:r>
      <w:r>
        <w:rPr>
          <w:rFonts w:eastAsia="楷体_GB2312"/>
          <w:b/>
          <w:bCs/>
          <w:color w:val="000000"/>
          <w:sz w:val="24"/>
        </w:rPr>
        <w:t xml:space="preserve">the </w:t>
      </w:r>
      <w:r>
        <w:rPr>
          <w:rFonts w:hint="eastAsia" w:eastAsia="楷体_GB2312"/>
          <w:b/>
          <w:bCs/>
          <w:color w:val="000000"/>
          <w:sz w:val="24"/>
        </w:rPr>
        <w:t>RMB has risen steadily</w:t>
      </w:r>
    </w:p>
    <w:p>
      <w:pPr>
        <w:shd w:val="clear" w:color="auto" w:fill="CCFFCC"/>
        <w:rPr>
          <w:rFonts w:eastAsia="楷体_GB2312"/>
          <w:color w:val="000000"/>
          <w:sz w:val="24"/>
        </w:rPr>
      </w:pPr>
      <w:r>
        <w:rPr>
          <w:rFonts w:hint="eastAsia" w:eastAsia="楷体_GB2312"/>
          <w:b/>
          <w:bCs/>
          <w:color w:val="000000"/>
          <w:sz w:val="24"/>
        </w:rPr>
        <w:t xml:space="preserve">The role of </w:t>
      </w:r>
      <w:r>
        <w:rPr>
          <w:rFonts w:eastAsia="楷体_GB2312"/>
          <w:b/>
          <w:bCs/>
          <w:color w:val="000000"/>
          <w:sz w:val="24"/>
        </w:rPr>
        <w:t xml:space="preserve">the </w:t>
      </w:r>
      <w:r>
        <w:rPr>
          <w:rFonts w:hint="eastAsia" w:eastAsia="楷体_GB2312"/>
          <w:b/>
          <w:bCs/>
          <w:color w:val="000000"/>
          <w:sz w:val="24"/>
        </w:rPr>
        <w:t xml:space="preserve">RMB as </w:t>
      </w:r>
      <w:r>
        <w:rPr>
          <w:rFonts w:eastAsia="楷体_GB2312"/>
          <w:b/>
          <w:bCs/>
          <w:color w:val="000000"/>
          <w:sz w:val="24"/>
        </w:rPr>
        <w:t xml:space="preserve">a </w:t>
      </w:r>
      <w:r>
        <w:rPr>
          <w:rFonts w:hint="eastAsia" w:eastAsia="楷体_GB2312"/>
          <w:b/>
          <w:bCs/>
          <w:color w:val="000000"/>
          <w:sz w:val="24"/>
        </w:rPr>
        <w:t xml:space="preserve">payment currency has </w:t>
      </w:r>
      <w:r>
        <w:rPr>
          <w:rFonts w:eastAsia="楷体_GB2312"/>
          <w:b/>
          <w:bCs/>
          <w:color w:val="000000"/>
          <w:sz w:val="24"/>
        </w:rPr>
        <w:t xml:space="preserve">continuously </w:t>
      </w:r>
      <w:r>
        <w:rPr>
          <w:rFonts w:hint="eastAsia" w:eastAsia="楷体_GB2312"/>
          <w:b/>
          <w:bCs/>
          <w:color w:val="000000"/>
          <w:sz w:val="24"/>
        </w:rPr>
        <w:t>strengthened</w:t>
      </w:r>
      <w:r>
        <w:rPr>
          <w:rFonts w:eastAsia="楷体_GB2312"/>
          <w:b/>
          <w:bCs/>
          <w:color w:val="000000"/>
          <w:sz w:val="24"/>
        </w:rPr>
        <w:t>.</w:t>
      </w:r>
      <w:r>
        <w:rPr>
          <w:rFonts w:hint="eastAsia" w:eastAsia="楷体_GB2312"/>
          <w:b/>
          <w:bCs/>
          <w:color w:val="000000"/>
          <w:sz w:val="24"/>
        </w:rPr>
        <w:t xml:space="preserve"> </w:t>
      </w:r>
      <w:r>
        <w:rPr>
          <w:rFonts w:hint="eastAsia" w:eastAsia="楷体_GB2312"/>
          <w:color w:val="000000"/>
          <w:sz w:val="24"/>
        </w:rPr>
        <w:t xml:space="preserve">According to </w:t>
      </w:r>
      <w:r>
        <w:rPr>
          <w:rFonts w:eastAsia="楷体_GB2312"/>
          <w:color w:val="000000"/>
          <w:sz w:val="24"/>
        </w:rPr>
        <w:t xml:space="preserve">SWIFT </w:t>
      </w:r>
      <w:r>
        <w:rPr>
          <w:rFonts w:hint="eastAsia" w:eastAsia="楷体_GB2312"/>
          <w:color w:val="000000"/>
          <w:sz w:val="24"/>
        </w:rPr>
        <w:t>statistics</w:t>
      </w:r>
      <w:r>
        <w:rPr>
          <w:rFonts w:eastAsia="楷体_GB2312"/>
          <w:color w:val="000000"/>
          <w:sz w:val="24"/>
        </w:rPr>
        <w:t xml:space="preserve">, </w:t>
      </w:r>
      <w:r>
        <w:rPr>
          <w:rFonts w:hint="eastAsia" w:eastAsia="楷体_GB2312"/>
          <w:color w:val="000000"/>
          <w:sz w:val="24"/>
        </w:rPr>
        <w:t>by the end of January 2018</w:t>
      </w:r>
      <w:r>
        <w:rPr>
          <w:rFonts w:eastAsia="楷体_GB2312"/>
          <w:color w:val="000000"/>
          <w:sz w:val="24"/>
        </w:rPr>
        <w:t xml:space="preserve"> the</w:t>
      </w:r>
      <w:r>
        <w:rPr>
          <w:rFonts w:hint="eastAsia" w:eastAsia="楷体_GB2312"/>
          <w:color w:val="000000"/>
          <w:sz w:val="24"/>
        </w:rPr>
        <w:t xml:space="preserve"> RMB ranked as the fifth largest payment currency </w:t>
      </w:r>
      <w:r>
        <w:rPr>
          <w:rFonts w:eastAsia="楷体_GB2312"/>
          <w:color w:val="000000"/>
          <w:sz w:val="24"/>
        </w:rPr>
        <w:t xml:space="preserve">in </w:t>
      </w:r>
      <w:r>
        <w:rPr>
          <w:rFonts w:hint="eastAsia" w:eastAsia="楷体_GB2312"/>
          <w:color w:val="000000"/>
          <w:sz w:val="24"/>
        </w:rPr>
        <w:t>the world</w:t>
      </w:r>
      <w:r>
        <w:rPr>
          <w:rFonts w:eastAsia="楷体_GB2312"/>
          <w:color w:val="000000"/>
          <w:sz w:val="24"/>
        </w:rPr>
        <w:t>,</w:t>
      </w:r>
      <w:r>
        <w:rPr>
          <w:rFonts w:hint="eastAsia" w:eastAsia="楷体_GB2312"/>
          <w:color w:val="000000"/>
          <w:sz w:val="24"/>
        </w:rPr>
        <w:t xml:space="preserve"> with a market share of 1.66 percent. By the end of March 2018, over 349,000 companies and 386 banks </w:t>
      </w:r>
      <w:r>
        <w:rPr>
          <w:rFonts w:eastAsia="楷体_GB2312"/>
          <w:color w:val="000000"/>
          <w:sz w:val="24"/>
        </w:rPr>
        <w:t xml:space="preserve">had </w:t>
      </w:r>
      <w:r>
        <w:rPr>
          <w:rFonts w:hint="eastAsia" w:eastAsia="楷体_GB2312"/>
          <w:color w:val="000000"/>
          <w:sz w:val="24"/>
        </w:rPr>
        <w:t>conducted RMB cross-border businesses</w:t>
      </w:r>
      <w:r>
        <w:rPr>
          <w:rFonts w:eastAsia="楷体_GB2312"/>
          <w:color w:val="000000"/>
          <w:sz w:val="24"/>
        </w:rPr>
        <w:t xml:space="preserve"> and</w:t>
      </w:r>
      <w:r>
        <w:rPr>
          <w:rFonts w:hint="eastAsia" w:eastAsia="楷体_GB2312"/>
          <w:color w:val="000000"/>
          <w:sz w:val="24"/>
        </w:rPr>
        <w:t xml:space="preserve"> foreign banks from 137 countries and regions ha</w:t>
      </w:r>
      <w:r>
        <w:rPr>
          <w:rFonts w:eastAsia="楷体_GB2312"/>
          <w:color w:val="000000"/>
          <w:sz w:val="24"/>
        </w:rPr>
        <w:t>d</w:t>
      </w:r>
      <w:r>
        <w:rPr>
          <w:rFonts w:hint="eastAsia" w:eastAsia="楷体_GB2312"/>
          <w:color w:val="000000"/>
          <w:sz w:val="24"/>
        </w:rPr>
        <w:t xml:space="preserve"> opened 5,028 current accounts in China.</w:t>
      </w:r>
    </w:p>
    <w:p>
      <w:pPr>
        <w:shd w:val="clear" w:color="auto" w:fill="CCFFCC"/>
        <w:rPr>
          <w:rFonts w:eastAsia="楷体_GB2312"/>
          <w:color w:val="000000"/>
          <w:sz w:val="24"/>
        </w:rPr>
      </w:pPr>
    </w:p>
    <w:p>
      <w:pPr>
        <w:shd w:val="clear" w:color="auto" w:fill="CCFFCC"/>
        <w:rPr>
          <w:rFonts w:eastAsia="楷体_GB2312"/>
          <w:color w:val="000000"/>
          <w:sz w:val="24"/>
        </w:rPr>
      </w:pPr>
      <w:r>
        <w:rPr>
          <w:rFonts w:hint="eastAsia" w:eastAsia="楷体_GB2312"/>
          <w:b/>
          <w:bCs/>
          <w:color w:val="000000"/>
          <w:sz w:val="24"/>
        </w:rPr>
        <w:t xml:space="preserve">The role of </w:t>
      </w:r>
      <w:r>
        <w:rPr>
          <w:rFonts w:eastAsia="楷体_GB2312"/>
          <w:b/>
          <w:bCs/>
          <w:color w:val="000000"/>
          <w:sz w:val="24"/>
        </w:rPr>
        <w:t xml:space="preserve">the </w:t>
      </w:r>
      <w:r>
        <w:rPr>
          <w:rFonts w:hint="eastAsia" w:eastAsia="楷体_GB2312"/>
          <w:b/>
          <w:bCs/>
          <w:color w:val="000000"/>
          <w:sz w:val="24"/>
        </w:rPr>
        <w:t xml:space="preserve">RMB as </w:t>
      </w:r>
      <w:r>
        <w:rPr>
          <w:rFonts w:eastAsia="楷体_GB2312"/>
          <w:b/>
          <w:bCs/>
          <w:color w:val="000000"/>
          <w:sz w:val="24"/>
        </w:rPr>
        <w:t xml:space="preserve">an </w:t>
      </w:r>
      <w:r>
        <w:rPr>
          <w:rFonts w:hint="eastAsia" w:eastAsia="楷体_GB2312"/>
          <w:b/>
          <w:bCs/>
          <w:color w:val="000000"/>
          <w:sz w:val="24"/>
        </w:rPr>
        <w:t>investment and financing currency continued to deepen.</w:t>
      </w:r>
      <w:r>
        <w:rPr>
          <w:rFonts w:hint="eastAsia" w:eastAsia="楷体_GB2312"/>
          <w:color w:val="000000"/>
          <w:sz w:val="24"/>
        </w:rPr>
        <w:t xml:space="preserve"> By the end of February 2018, 652 foreign institutions had gained access to China</w:t>
      </w:r>
      <w:r>
        <w:rPr>
          <w:rFonts w:eastAsia="楷体_GB2312"/>
          <w:color w:val="000000"/>
          <w:sz w:val="24"/>
        </w:rPr>
        <w:t>’</w:t>
      </w:r>
      <w:r>
        <w:rPr>
          <w:rFonts w:hint="eastAsia" w:eastAsia="楷体_GB2312"/>
          <w:color w:val="000000"/>
          <w:sz w:val="24"/>
        </w:rPr>
        <w:t>s inter</w:t>
      </w:r>
      <w:r>
        <w:rPr>
          <w:rFonts w:eastAsia="楷体_GB2312"/>
          <w:color w:val="000000"/>
          <w:sz w:val="24"/>
        </w:rPr>
        <w:t>-</w:t>
      </w:r>
      <w:r>
        <w:rPr>
          <w:rFonts w:hint="eastAsia" w:eastAsia="楷体_GB2312"/>
          <w:color w:val="000000"/>
          <w:sz w:val="24"/>
        </w:rPr>
        <w:t>bank bond market</w:t>
      </w:r>
      <w:r>
        <w:rPr>
          <w:rFonts w:eastAsia="楷体_GB2312"/>
          <w:color w:val="000000"/>
          <w:sz w:val="24"/>
        </w:rPr>
        <w:t>,</w:t>
      </w:r>
      <w:r>
        <w:rPr>
          <w:rFonts w:hint="eastAsia" w:eastAsia="楷体_GB2312"/>
          <w:color w:val="000000"/>
          <w:sz w:val="24"/>
        </w:rPr>
        <w:t xml:space="preserve"> with a total registered investment of RMB 2.09 trillion; the outstanding domestic RMB financial assets</w:t>
      </w:r>
      <w:r>
        <w:rPr>
          <w:rFonts w:eastAsia="楷体_GB2312"/>
          <w:color w:val="000000"/>
          <w:sz w:val="24"/>
        </w:rPr>
        <w:t>,</w:t>
      </w:r>
      <w:r>
        <w:rPr>
          <w:rFonts w:hint="eastAsia" w:eastAsia="楷体_GB2312"/>
          <w:color w:val="000000"/>
          <w:sz w:val="24"/>
        </w:rPr>
        <w:t xml:space="preserve"> including stocks, bonds, </w:t>
      </w:r>
      <w:r>
        <w:rPr>
          <w:rFonts w:eastAsia="楷体_GB2312"/>
          <w:color w:val="000000"/>
          <w:sz w:val="24"/>
        </w:rPr>
        <w:t xml:space="preserve">and </w:t>
      </w:r>
      <w:r>
        <w:rPr>
          <w:rFonts w:hint="eastAsia" w:eastAsia="楷体_GB2312"/>
          <w:color w:val="000000"/>
          <w:sz w:val="24"/>
        </w:rPr>
        <w:t>loans and deposits held by foreign entities</w:t>
      </w:r>
      <w:r>
        <w:rPr>
          <w:rFonts w:eastAsia="楷体_GB2312"/>
          <w:color w:val="000000"/>
          <w:sz w:val="24"/>
        </w:rPr>
        <w:t>,</w:t>
      </w:r>
      <w:r>
        <w:rPr>
          <w:rFonts w:hint="eastAsia" w:eastAsia="楷体_GB2312"/>
          <w:color w:val="000000"/>
          <w:sz w:val="24"/>
        </w:rPr>
        <w:t xml:space="preserve"> had reached RMB 4.47 trillion, an increase of 39.6 percent year on year. By the end of March, the total registered or approved amount of panda bonds had reached RMB 624.01 billion and the</w:t>
      </w:r>
      <w:r>
        <w:rPr>
          <w:rFonts w:eastAsia="楷体_GB2312"/>
          <w:color w:val="000000"/>
          <w:sz w:val="24"/>
        </w:rPr>
        <w:t>ir</w:t>
      </w:r>
      <w:r>
        <w:rPr>
          <w:rFonts w:hint="eastAsia" w:eastAsia="楷体_GB2312"/>
          <w:color w:val="000000"/>
          <w:sz w:val="24"/>
        </w:rPr>
        <w:t xml:space="preserve"> total issuance </w:t>
      </w:r>
      <w:r>
        <w:rPr>
          <w:rFonts w:eastAsia="楷体_GB2312"/>
          <w:color w:val="000000"/>
          <w:sz w:val="24"/>
        </w:rPr>
        <w:t xml:space="preserve">reached </w:t>
      </w:r>
      <w:r>
        <w:rPr>
          <w:rFonts w:hint="eastAsia" w:eastAsia="楷体_GB2312"/>
          <w:color w:val="000000"/>
          <w:sz w:val="24"/>
        </w:rPr>
        <w:t>RMB 245.7 billion.</w:t>
      </w:r>
    </w:p>
    <w:p>
      <w:pPr>
        <w:shd w:val="clear" w:color="auto" w:fill="CCFFCC"/>
        <w:rPr>
          <w:rFonts w:eastAsia="楷体_GB2312"/>
          <w:color w:val="000000"/>
          <w:sz w:val="24"/>
        </w:rPr>
      </w:pPr>
    </w:p>
    <w:p>
      <w:pPr>
        <w:shd w:val="clear" w:color="auto" w:fill="CCFFCC"/>
        <w:rPr>
          <w:rFonts w:eastAsia="楷体_GB2312"/>
          <w:color w:val="000000"/>
          <w:sz w:val="24"/>
        </w:rPr>
      </w:pPr>
      <w:r>
        <w:rPr>
          <w:rFonts w:eastAsia="楷体_GB2312"/>
          <w:b/>
          <w:bCs/>
          <w:color w:val="000000"/>
          <w:sz w:val="24"/>
        </w:rPr>
        <w:t>The</w:t>
      </w:r>
      <w:r>
        <w:rPr>
          <w:rFonts w:hint="eastAsia" w:eastAsia="楷体_GB2312"/>
          <w:b/>
          <w:bCs/>
          <w:color w:val="000000"/>
          <w:sz w:val="24"/>
        </w:rPr>
        <w:t xml:space="preserve"> role </w:t>
      </w:r>
      <w:r>
        <w:rPr>
          <w:rFonts w:eastAsia="楷体_GB2312"/>
          <w:b/>
          <w:bCs/>
          <w:color w:val="000000"/>
          <w:sz w:val="24"/>
        </w:rPr>
        <w:t xml:space="preserve">of the </w:t>
      </w:r>
      <w:r>
        <w:rPr>
          <w:rFonts w:hint="eastAsia" w:eastAsia="楷体_GB2312"/>
          <w:b/>
          <w:bCs/>
          <w:color w:val="000000"/>
          <w:sz w:val="24"/>
        </w:rPr>
        <w:t xml:space="preserve">as </w:t>
      </w:r>
      <w:r>
        <w:rPr>
          <w:rFonts w:eastAsia="楷体_GB2312"/>
          <w:b/>
          <w:bCs/>
          <w:color w:val="000000"/>
          <w:sz w:val="24"/>
        </w:rPr>
        <w:t xml:space="preserve">a </w:t>
      </w:r>
      <w:r>
        <w:rPr>
          <w:rFonts w:hint="eastAsia" w:eastAsia="楷体_GB2312"/>
          <w:b/>
          <w:bCs/>
          <w:color w:val="000000"/>
          <w:sz w:val="24"/>
        </w:rPr>
        <w:t xml:space="preserve">reserve currency is emerging. </w:t>
      </w:r>
      <w:r>
        <w:rPr>
          <w:rFonts w:eastAsia="楷体_GB2312"/>
          <w:bCs/>
          <w:color w:val="000000"/>
          <w:sz w:val="24"/>
        </w:rPr>
        <w:t>For the first time, the</w:t>
      </w:r>
      <w:r>
        <w:rPr>
          <w:rFonts w:hint="eastAsia" w:eastAsia="楷体_GB2312"/>
          <w:color w:val="000000"/>
          <w:sz w:val="24"/>
        </w:rPr>
        <w:t xml:space="preserve"> IMF released information on RMB reserves. In Q4 of 2017, RMB reserves held by reporting countries to the currency composition of official foreign</w:t>
      </w:r>
      <w:r>
        <w:rPr>
          <w:rFonts w:eastAsia="楷体_GB2312"/>
          <w:color w:val="000000"/>
          <w:sz w:val="24"/>
        </w:rPr>
        <w:t>-</w:t>
      </w:r>
      <w:r>
        <w:rPr>
          <w:rFonts w:hint="eastAsia" w:eastAsia="楷体_GB2312"/>
          <w:color w:val="000000"/>
          <w:sz w:val="24"/>
        </w:rPr>
        <w:t xml:space="preserve">exchange reserves (COFER) stood at USD 112.8 billion, up 4.5 percent quarter on quarter. According to incomplete statistics, over 60 foreign banks and monetary authorities have included </w:t>
      </w:r>
      <w:r>
        <w:rPr>
          <w:rFonts w:eastAsia="楷体_GB2312"/>
          <w:color w:val="000000"/>
          <w:sz w:val="24"/>
        </w:rPr>
        <w:t xml:space="preserve">the </w:t>
      </w:r>
      <w:r>
        <w:rPr>
          <w:rFonts w:hint="eastAsia" w:eastAsia="楷体_GB2312"/>
          <w:color w:val="000000"/>
          <w:sz w:val="24"/>
        </w:rPr>
        <w:t xml:space="preserve">RMB </w:t>
      </w:r>
      <w:r>
        <w:rPr>
          <w:rFonts w:eastAsia="楷体_GB2312"/>
          <w:color w:val="000000"/>
          <w:sz w:val="24"/>
        </w:rPr>
        <w:t xml:space="preserve">in </w:t>
      </w:r>
      <w:r>
        <w:rPr>
          <w:rFonts w:hint="eastAsia" w:eastAsia="楷体_GB2312"/>
          <w:color w:val="000000"/>
          <w:sz w:val="24"/>
        </w:rPr>
        <w:t>their official foreign</w:t>
      </w:r>
      <w:r>
        <w:rPr>
          <w:rFonts w:eastAsia="楷体_GB2312"/>
          <w:color w:val="000000"/>
          <w:sz w:val="24"/>
        </w:rPr>
        <w:t>-</w:t>
      </w:r>
      <w:r>
        <w:rPr>
          <w:rFonts w:hint="eastAsia" w:eastAsia="楷体_GB2312"/>
          <w:color w:val="000000"/>
          <w:sz w:val="24"/>
        </w:rPr>
        <w:t xml:space="preserve">exchange reserves. </w:t>
      </w:r>
    </w:p>
    <w:p>
      <w:pPr>
        <w:shd w:val="clear" w:color="auto" w:fill="CCFFCC"/>
        <w:rPr>
          <w:rFonts w:eastAsia="楷体_GB2312"/>
          <w:color w:val="000000"/>
          <w:sz w:val="24"/>
        </w:rPr>
      </w:pPr>
    </w:p>
    <w:p>
      <w:pPr>
        <w:shd w:val="clear" w:color="auto" w:fill="CCFFCC"/>
        <w:rPr>
          <w:rFonts w:eastAsia="楷体_GB2312"/>
          <w:color w:val="000000"/>
          <w:sz w:val="24"/>
        </w:rPr>
      </w:pPr>
      <w:r>
        <w:rPr>
          <w:rFonts w:hint="eastAsia" w:eastAsia="楷体_GB2312"/>
          <w:b/>
          <w:bCs/>
          <w:color w:val="000000"/>
          <w:sz w:val="24"/>
        </w:rPr>
        <w:t xml:space="preserve">2. Policies </w:t>
      </w:r>
      <w:r>
        <w:rPr>
          <w:rFonts w:eastAsia="楷体_GB2312"/>
          <w:b/>
          <w:bCs/>
          <w:color w:val="000000"/>
          <w:sz w:val="24"/>
        </w:rPr>
        <w:t>on</w:t>
      </w:r>
      <w:r>
        <w:rPr>
          <w:rFonts w:hint="eastAsia" w:eastAsia="楷体_GB2312"/>
          <w:b/>
          <w:bCs/>
          <w:color w:val="000000"/>
          <w:sz w:val="24"/>
        </w:rPr>
        <w:t xml:space="preserve"> the cross-border use of </w:t>
      </w:r>
      <w:r>
        <w:rPr>
          <w:rFonts w:eastAsia="楷体_GB2312"/>
          <w:b/>
          <w:bCs/>
          <w:color w:val="000000"/>
          <w:sz w:val="24"/>
        </w:rPr>
        <w:t xml:space="preserve">the </w:t>
      </w:r>
      <w:r>
        <w:rPr>
          <w:rFonts w:hint="eastAsia" w:eastAsia="楷体_GB2312"/>
          <w:b/>
          <w:bCs/>
          <w:color w:val="000000"/>
          <w:sz w:val="24"/>
        </w:rPr>
        <w:t>RMB have improved continuously</w:t>
      </w:r>
      <w:r>
        <w:rPr>
          <w:rFonts w:eastAsia="楷体_GB2312"/>
          <w:b/>
          <w:bCs/>
          <w:color w:val="000000"/>
          <w:sz w:val="24"/>
        </w:rPr>
        <w:t>.</w:t>
      </w:r>
      <w:r>
        <w:rPr>
          <w:rFonts w:hint="eastAsia" w:eastAsia="楷体_GB2312"/>
          <w:color w:val="000000"/>
          <w:sz w:val="24"/>
        </w:rPr>
        <w:t xml:space="preserve">       </w:t>
      </w:r>
    </w:p>
    <w:p>
      <w:pPr>
        <w:shd w:val="clear" w:color="auto" w:fill="CCFFCC"/>
        <w:rPr>
          <w:rFonts w:eastAsia="楷体_GB2312"/>
          <w:color w:val="000000"/>
          <w:sz w:val="24"/>
        </w:rPr>
      </w:pPr>
      <w:r>
        <w:rPr>
          <w:rFonts w:hint="eastAsia" w:eastAsia="楷体_GB2312"/>
          <w:b/>
          <w:bCs/>
          <w:color w:val="000000"/>
          <w:sz w:val="24"/>
        </w:rPr>
        <w:t>Policies have been introduced to facilitate trade and investment.</w:t>
      </w:r>
      <w:r>
        <w:rPr>
          <w:rFonts w:hint="eastAsia" w:eastAsia="楷体_GB2312"/>
          <w:color w:val="000000"/>
          <w:sz w:val="24"/>
        </w:rPr>
        <w:t xml:space="preserve"> In January 2018, the PBC issued the </w:t>
      </w:r>
      <w:r>
        <w:rPr>
          <w:rFonts w:hint="eastAsia" w:eastAsia="楷体_GB2312"/>
          <w:i/>
          <w:iCs/>
          <w:color w:val="000000"/>
          <w:sz w:val="24"/>
        </w:rPr>
        <w:t xml:space="preserve">Notice </w:t>
      </w:r>
      <w:r>
        <w:rPr>
          <w:rFonts w:eastAsia="楷体_GB2312"/>
          <w:i/>
          <w:iCs/>
          <w:color w:val="000000"/>
          <w:sz w:val="24"/>
        </w:rPr>
        <w:t>o</w:t>
      </w:r>
      <w:r>
        <w:rPr>
          <w:rFonts w:hint="eastAsia" w:eastAsia="楷体_GB2312"/>
          <w:i/>
          <w:iCs/>
          <w:color w:val="000000"/>
          <w:sz w:val="24"/>
        </w:rPr>
        <w:t>n Further Improving RMB Cross-border Business</w:t>
      </w:r>
      <w:r>
        <w:rPr>
          <w:rFonts w:eastAsia="楷体_GB2312"/>
          <w:i/>
          <w:iCs/>
          <w:color w:val="000000"/>
          <w:sz w:val="24"/>
        </w:rPr>
        <w:t xml:space="preserve"> Policies</w:t>
      </w:r>
      <w:r>
        <w:rPr>
          <w:rFonts w:hint="eastAsia" w:eastAsia="楷体_GB2312"/>
          <w:i/>
          <w:iCs/>
          <w:color w:val="000000"/>
          <w:sz w:val="24"/>
        </w:rPr>
        <w:t xml:space="preserve"> </w:t>
      </w:r>
      <w:r>
        <w:rPr>
          <w:rFonts w:eastAsia="楷体_GB2312"/>
          <w:i/>
          <w:iCs/>
          <w:color w:val="000000"/>
          <w:sz w:val="24"/>
        </w:rPr>
        <w:t>t</w:t>
      </w:r>
      <w:r>
        <w:rPr>
          <w:rFonts w:hint="eastAsia" w:eastAsia="楷体_GB2312"/>
          <w:i/>
          <w:iCs/>
          <w:color w:val="000000"/>
          <w:sz w:val="24"/>
        </w:rPr>
        <w:t>o Facilitate Trade and Investment</w:t>
      </w:r>
      <w:r>
        <w:rPr>
          <w:rFonts w:hint="eastAsia" w:eastAsia="楷体_GB2312"/>
          <w:color w:val="000000"/>
          <w:sz w:val="24"/>
        </w:rPr>
        <w:t xml:space="preserve"> (PBC Document [2018] No.</w:t>
      </w:r>
      <w:r>
        <w:rPr>
          <w:rFonts w:eastAsia="楷体_GB2312"/>
          <w:color w:val="000000"/>
          <w:sz w:val="24"/>
        </w:rPr>
        <w:t xml:space="preserve"> </w:t>
      </w:r>
      <w:r>
        <w:rPr>
          <w:rFonts w:hint="eastAsia" w:eastAsia="楷体_GB2312"/>
          <w:color w:val="000000"/>
          <w:sz w:val="24"/>
        </w:rPr>
        <w:t xml:space="preserve">3), stipulating that enterprises can use </w:t>
      </w:r>
      <w:r>
        <w:rPr>
          <w:rFonts w:eastAsia="楷体_GB2312"/>
          <w:color w:val="000000"/>
          <w:sz w:val="24"/>
        </w:rPr>
        <w:t xml:space="preserve">the </w:t>
      </w:r>
      <w:r>
        <w:rPr>
          <w:rFonts w:hint="eastAsia" w:eastAsia="楷体_GB2312"/>
          <w:color w:val="000000"/>
          <w:sz w:val="24"/>
        </w:rPr>
        <w:t xml:space="preserve">RMB to settle cross-border transactions that can be settled in foreign exchange according to </w:t>
      </w:r>
      <w:r>
        <w:rPr>
          <w:rFonts w:eastAsia="楷体_GB2312"/>
          <w:color w:val="000000"/>
          <w:sz w:val="24"/>
        </w:rPr>
        <w:t xml:space="preserve">the </w:t>
      </w:r>
      <w:r>
        <w:rPr>
          <w:rFonts w:hint="eastAsia" w:eastAsia="楷体_GB2312"/>
          <w:color w:val="000000"/>
          <w:sz w:val="24"/>
        </w:rPr>
        <w:t>law. The</w:t>
      </w:r>
      <w:r>
        <w:rPr>
          <w:rFonts w:hint="eastAsia" w:eastAsia="楷体_GB2312"/>
          <w:i/>
          <w:iCs/>
          <w:color w:val="000000"/>
          <w:sz w:val="24"/>
        </w:rPr>
        <w:t xml:space="preserve"> Notice</w:t>
      </w:r>
      <w:r>
        <w:rPr>
          <w:rFonts w:hint="eastAsia" w:eastAsia="楷体_GB2312"/>
          <w:color w:val="000000"/>
          <w:sz w:val="24"/>
        </w:rPr>
        <w:t xml:space="preserve"> allows RMB settlement</w:t>
      </w:r>
      <w:r>
        <w:rPr>
          <w:rFonts w:eastAsia="楷体_GB2312"/>
          <w:color w:val="000000"/>
          <w:sz w:val="24"/>
        </w:rPr>
        <w:t xml:space="preserve">s </w:t>
      </w:r>
      <w:r>
        <w:rPr>
          <w:rFonts w:hint="eastAsia" w:eastAsia="楷体_GB2312"/>
          <w:color w:val="000000"/>
          <w:sz w:val="24"/>
        </w:rPr>
        <w:t>by individuals for other items under the current account, facilitates direct investments in RMB by foreign investors, introduces RMB cross-border settlement</w:t>
      </w:r>
      <w:r>
        <w:rPr>
          <w:rFonts w:eastAsia="楷体_GB2312"/>
          <w:color w:val="000000"/>
          <w:sz w:val="24"/>
        </w:rPr>
        <w:t>s</w:t>
      </w:r>
      <w:r>
        <w:rPr>
          <w:rFonts w:hint="eastAsia" w:eastAsia="楷体_GB2312"/>
          <w:color w:val="000000"/>
          <w:sz w:val="24"/>
        </w:rPr>
        <w:t xml:space="preserve"> </w:t>
      </w:r>
      <w:r>
        <w:rPr>
          <w:rFonts w:eastAsia="楷体_GB2312"/>
          <w:color w:val="000000"/>
          <w:sz w:val="24"/>
        </w:rPr>
        <w:t>of</w:t>
      </w:r>
      <w:r>
        <w:rPr>
          <w:rFonts w:hint="eastAsia" w:eastAsia="楷体_GB2312"/>
          <w:color w:val="000000"/>
          <w:sz w:val="24"/>
        </w:rPr>
        <w:t xml:space="preserve"> transactions </w:t>
      </w:r>
      <w:r>
        <w:rPr>
          <w:rFonts w:eastAsia="楷体_GB2312"/>
          <w:color w:val="000000"/>
          <w:sz w:val="24"/>
        </w:rPr>
        <w:t>for</w:t>
      </w:r>
      <w:r>
        <w:rPr>
          <w:rFonts w:hint="eastAsia" w:eastAsia="楷体_GB2312"/>
          <w:color w:val="000000"/>
          <w:sz w:val="24"/>
        </w:rPr>
        <w:t xml:space="preserve"> carbon</w:t>
      </w:r>
      <w:r>
        <w:rPr>
          <w:rFonts w:eastAsia="楷体_GB2312"/>
          <w:color w:val="000000"/>
          <w:sz w:val="24"/>
        </w:rPr>
        <w:t>-</w:t>
      </w:r>
      <w:r>
        <w:rPr>
          <w:rFonts w:hint="eastAsia" w:eastAsia="楷体_GB2312"/>
          <w:color w:val="000000"/>
          <w:sz w:val="24"/>
        </w:rPr>
        <w:t xml:space="preserve">emission rights, and makes it easier for enterprises to transfer home RMB funds raised by issuing stocks and bonds abroad. </w:t>
      </w:r>
      <w:r>
        <w:rPr>
          <w:rFonts w:eastAsia="楷体_GB2312"/>
          <w:color w:val="000000"/>
          <w:sz w:val="24"/>
        </w:rPr>
        <w:t>I</w:t>
      </w:r>
      <w:r>
        <w:rPr>
          <w:rFonts w:hint="eastAsia" w:eastAsia="楷体_GB2312"/>
          <w:color w:val="000000"/>
          <w:sz w:val="24"/>
        </w:rPr>
        <w:t xml:space="preserve">mplementation of the </w:t>
      </w:r>
      <w:r>
        <w:rPr>
          <w:rFonts w:hint="eastAsia" w:eastAsia="楷体_GB2312"/>
          <w:i/>
          <w:iCs/>
          <w:color w:val="000000"/>
          <w:sz w:val="24"/>
        </w:rPr>
        <w:t>Notice</w:t>
      </w:r>
      <w:r>
        <w:rPr>
          <w:rFonts w:hint="eastAsia" w:eastAsia="楷体_GB2312"/>
          <w:color w:val="000000"/>
          <w:sz w:val="24"/>
        </w:rPr>
        <w:t xml:space="preserve"> will further facilitate trade and investment, enhance </w:t>
      </w:r>
      <w:r>
        <w:rPr>
          <w:rFonts w:eastAsia="楷体_GB2312"/>
          <w:color w:val="000000"/>
          <w:sz w:val="24"/>
        </w:rPr>
        <w:t xml:space="preserve">the capacity of </w:t>
      </w:r>
      <w:r>
        <w:rPr>
          <w:rFonts w:hint="eastAsia" w:eastAsia="楷体_GB2312"/>
          <w:color w:val="000000"/>
          <w:sz w:val="24"/>
        </w:rPr>
        <w:t xml:space="preserve">financial institutions </w:t>
      </w:r>
      <w:r>
        <w:rPr>
          <w:rFonts w:eastAsia="楷体_GB2312"/>
          <w:color w:val="000000"/>
          <w:sz w:val="24"/>
        </w:rPr>
        <w:t xml:space="preserve">to serve </w:t>
      </w:r>
      <w:r>
        <w:rPr>
          <w:rFonts w:hint="eastAsia" w:eastAsia="楷体_GB2312"/>
          <w:color w:val="000000"/>
          <w:sz w:val="24"/>
        </w:rPr>
        <w:t>the real economy and the Belt and Road Initiative, and bring the opening-up to a new level.</w:t>
      </w:r>
    </w:p>
    <w:p>
      <w:pPr>
        <w:shd w:val="clear" w:color="auto" w:fill="CCFFCC"/>
        <w:rPr>
          <w:rFonts w:eastAsia="楷体_GB2312"/>
          <w:color w:val="000000"/>
          <w:sz w:val="24"/>
        </w:rPr>
      </w:pPr>
    </w:p>
    <w:p>
      <w:pPr>
        <w:shd w:val="clear" w:color="auto" w:fill="CCFFCC"/>
        <w:rPr>
          <w:rFonts w:eastAsia="楷体_GB2312"/>
          <w:color w:val="000000"/>
          <w:sz w:val="24"/>
        </w:rPr>
      </w:pPr>
      <w:r>
        <w:rPr>
          <w:rFonts w:eastAsia="楷体_GB2312"/>
          <w:b/>
          <w:bCs/>
          <w:color w:val="000000"/>
          <w:sz w:val="24"/>
        </w:rPr>
        <w:t>C</w:t>
      </w:r>
      <w:r>
        <w:rPr>
          <w:rFonts w:hint="eastAsia" w:eastAsia="楷体_GB2312"/>
          <w:b/>
          <w:bCs/>
          <w:color w:val="000000"/>
          <w:sz w:val="24"/>
        </w:rPr>
        <w:t>rude oil futures denominated and settled in RMB w</w:t>
      </w:r>
      <w:r>
        <w:rPr>
          <w:rFonts w:eastAsia="楷体_GB2312"/>
          <w:b/>
          <w:bCs/>
          <w:color w:val="000000"/>
          <w:sz w:val="24"/>
        </w:rPr>
        <w:t>ere</w:t>
      </w:r>
      <w:r>
        <w:rPr>
          <w:rFonts w:hint="eastAsia" w:eastAsia="楷体_GB2312"/>
          <w:b/>
          <w:bCs/>
          <w:color w:val="000000"/>
          <w:sz w:val="24"/>
        </w:rPr>
        <w:t xml:space="preserve"> officially launched.</w:t>
      </w:r>
      <w:r>
        <w:rPr>
          <w:rFonts w:hint="eastAsia" w:eastAsia="楷体_GB2312"/>
          <w:color w:val="000000"/>
          <w:sz w:val="24"/>
        </w:rPr>
        <w:t xml:space="preserve"> The </w:t>
      </w:r>
      <w:r>
        <w:rPr>
          <w:rFonts w:hint="eastAsia" w:eastAsia="楷体_GB2312"/>
          <w:i/>
          <w:iCs/>
          <w:color w:val="000000"/>
          <w:sz w:val="24"/>
        </w:rPr>
        <w:t>Announcement on Issues Related to the Management of Cross-border RMB Settlement</w:t>
      </w:r>
      <w:r>
        <w:rPr>
          <w:rFonts w:eastAsia="楷体_GB2312"/>
          <w:i/>
          <w:iCs/>
          <w:color w:val="000000"/>
          <w:sz w:val="24"/>
        </w:rPr>
        <w:t>s</w:t>
      </w:r>
      <w:r>
        <w:rPr>
          <w:rFonts w:hint="eastAsia" w:eastAsia="楷体_GB2312"/>
          <w:i/>
          <w:iCs/>
          <w:color w:val="000000"/>
          <w:sz w:val="24"/>
        </w:rPr>
        <w:t xml:space="preserve"> for Domestic Transactions of Crude Oil Futures</w:t>
      </w:r>
      <w:r>
        <w:rPr>
          <w:rFonts w:hint="eastAsia" w:eastAsia="楷体_GB2312"/>
          <w:color w:val="000000"/>
          <w:sz w:val="24"/>
        </w:rPr>
        <w:t xml:space="preserve"> (PBC Announcement [2015], No.</w:t>
      </w:r>
      <w:r>
        <w:rPr>
          <w:rFonts w:eastAsia="楷体_GB2312"/>
          <w:color w:val="000000"/>
          <w:sz w:val="24"/>
        </w:rPr>
        <w:t xml:space="preserve"> </w:t>
      </w:r>
      <w:r>
        <w:rPr>
          <w:rFonts w:hint="eastAsia" w:eastAsia="楷体_GB2312"/>
          <w:color w:val="000000"/>
          <w:sz w:val="24"/>
        </w:rPr>
        <w:t>19) was issued in July 2015. On March 26, 2018, crude oil futures denominated and settled in RMB w</w:t>
      </w:r>
      <w:r>
        <w:rPr>
          <w:rFonts w:eastAsia="楷体_GB2312"/>
          <w:color w:val="000000"/>
          <w:sz w:val="24"/>
        </w:rPr>
        <w:t xml:space="preserve">ere </w:t>
      </w:r>
      <w:r>
        <w:rPr>
          <w:rFonts w:hint="eastAsia" w:eastAsia="楷体_GB2312"/>
          <w:color w:val="000000"/>
          <w:sz w:val="24"/>
        </w:rPr>
        <w:t xml:space="preserve">officially listed </w:t>
      </w:r>
      <w:r>
        <w:rPr>
          <w:rFonts w:eastAsia="楷体_GB2312"/>
          <w:color w:val="000000"/>
          <w:sz w:val="24"/>
        </w:rPr>
        <w:t>or</w:t>
      </w:r>
      <w:r>
        <w:rPr>
          <w:rFonts w:hint="eastAsia" w:eastAsia="楷体_GB2312"/>
          <w:color w:val="000000"/>
          <w:sz w:val="24"/>
        </w:rPr>
        <w:t xml:space="preserve"> the Shanghai International Energy Exchange. This will promote </w:t>
      </w:r>
      <w:r>
        <w:rPr>
          <w:rFonts w:eastAsia="楷体_GB2312"/>
          <w:color w:val="000000"/>
          <w:sz w:val="24"/>
        </w:rPr>
        <w:t xml:space="preserve">the </w:t>
      </w:r>
      <w:r>
        <w:rPr>
          <w:rFonts w:hint="eastAsia" w:eastAsia="楷体_GB2312"/>
          <w:color w:val="000000"/>
          <w:sz w:val="24"/>
        </w:rPr>
        <w:t>RMB</w:t>
      </w:r>
      <w:r>
        <w:rPr>
          <w:rFonts w:eastAsia="楷体_GB2312"/>
          <w:color w:val="000000"/>
          <w:sz w:val="24"/>
        </w:rPr>
        <w:t>’</w:t>
      </w:r>
      <w:r>
        <w:rPr>
          <w:rFonts w:hint="eastAsia" w:eastAsia="楷体_GB2312"/>
          <w:color w:val="000000"/>
          <w:sz w:val="24"/>
        </w:rPr>
        <w:t xml:space="preserve">s role as </w:t>
      </w:r>
      <w:r>
        <w:rPr>
          <w:rFonts w:eastAsia="楷体_GB2312"/>
          <w:color w:val="000000"/>
          <w:sz w:val="24"/>
        </w:rPr>
        <w:t xml:space="preserve">an account </w:t>
      </w:r>
      <w:r>
        <w:rPr>
          <w:rFonts w:hint="eastAsia" w:eastAsia="楷体_GB2312"/>
          <w:color w:val="000000"/>
          <w:sz w:val="24"/>
        </w:rPr>
        <w:t xml:space="preserve">unit and </w:t>
      </w:r>
      <w:r>
        <w:rPr>
          <w:rFonts w:eastAsia="楷体_GB2312"/>
          <w:color w:val="000000"/>
          <w:sz w:val="24"/>
        </w:rPr>
        <w:t xml:space="preserve">a </w:t>
      </w:r>
      <w:r>
        <w:rPr>
          <w:rFonts w:hint="eastAsia" w:eastAsia="楷体_GB2312"/>
          <w:color w:val="000000"/>
          <w:sz w:val="24"/>
        </w:rPr>
        <w:t xml:space="preserve">settlement currency for commodities and </w:t>
      </w:r>
      <w:r>
        <w:rPr>
          <w:rFonts w:eastAsia="楷体_GB2312"/>
          <w:color w:val="000000"/>
          <w:sz w:val="24"/>
        </w:rPr>
        <w:t xml:space="preserve">will </w:t>
      </w:r>
      <w:r>
        <w:rPr>
          <w:rFonts w:hint="eastAsia" w:eastAsia="楷体_GB2312"/>
          <w:color w:val="000000"/>
          <w:sz w:val="24"/>
        </w:rPr>
        <w:t xml:space="preserve">facilitate use of </w:t>
      </w:r>
      <w:r>
        <w:rPr>
          <w:rFonts w:eastAsia="楷体_GB2312"/>
          <w:color w:val="000000"/>
          <w:sz w:val="24"/>
        </w:rPr>
        <w:t xml:space="preserve">the </w:t>
      </w:r>
      <w:r>
        <w:rPr>
          <w:rFonts w:hint="eastAsia" w:eastAsia="楷体_GB2312"/>
          <w:color w:val="000000"/>
          <w:sz w:val="24"/>
        </w:rPr>
        <w:t>RMB in international trade.</w:t>
      </w:r>
    </w:p>
    <w:p>
      <w:pPr>
        <w:shd w:val="clear" w:color="auto" w:fill="CCFFCC"/>
        <w:rPr>
          <w:rFonts w:eastAsia="楷体_GB2312"/>
          <w:color w:val="000000"/>
          <w:sz w:val="24"/>
        </w:rPr>
      </w:pPr>
    </w:p>
    <w:p>
      <w:pPr>
        <w:shd w:val="clear" w:color="auto" w:fill="CCFFCC"/>
        <w:rPr>
          <w:rFonts w:eastAsia="楷体_GB2312"/>
          <w:color w:val="000000"/>
          <w:sz w:val="24"/>
        </w:rPr>
      </w:pPr>
      <w:r>
        <w:rPr>
          <w:rFonts w:hint="eastAsia" w:eastAsia="楷体_GB2312"/>
          <w:b/>
          <w:bCs/>
          <w:color w:val="000000"/>
          <w:sz w:val="24"/>
        </w:rPr>
        <w:t xml:space="preserve">3. </w:t>
      </w:r>
      <w:r>
        <w:rPr>
          <w:rFonts w:eastAsia="楷体_GB2312"/>
          <w:b/>
          <w:bCs/>
          <w:color w:val="000000"/>
          <w:sz w:val="24"/>
        </w:rPr>
        <w:t>The u</w:t>
      </w:r>
      <w:r>
        <w:rPr>
          <w:rFonts w:hint="eastAsia" w:eastAsia="楷体_GB2312"/>
          <w:b/>
          <w:bCs/>
          <w:color w:val="000000"/>
          <w:sz w:val="24"/>
        </w:rPr>
        <w:t>nderlying infrastructure continued to improve</w:t>
      </w:r>
    </w:p>
    <w:p>
      <w:pPr>
        <w:shd w:val="clear" w:color="auto" w:fill="CCFFCC"/>
        <w:rPr>
          <w:rFonts w:eastAsia="楷体_GB2312"/>
          <w:color w:val="000000"/>
          <w:sz w:val="24"/>
        </w:rPr>
      </w:pPr>
      <w:r>
        <w:rPr>
          <w:rFonts w:hint="eastAsia" w:eastAsia="楷体_GB2312"/>
          <w:b/>
          <w:bCs/>
          <w:color w:val="000000"/>
          <w:sz w:val="24"/>
        </w:rPr>
        <w:t>Efforts have been made to improve oversea</w:t>
      </w:r>
      <w:r>
        <w:rPr>
          <w:rFonts w:eastAsia="楷体_GB2312"/>
          <w:b/>
          <w:bCs/>
          <w:color w:val="000000"/>
          <w:sz w:val="24"/>
        </w:rPr>
        <w:t>s</w:t>
      </w:r>
      <w:r>
        <w:rPr>
          <w:rFonts w:hint="eastAsia" w:eastAsia="楷体_GB2312"/>
          <w:b/>
          <w:bCs/>
          <w:color w:val="000000"/>
          <w:sz w:val="24"/>
        </w:rPr>
        <w:t xml:space="preserve"> RMB clearing arrangement</w:t>
      </w:r>
      <w:r>
        <w:rPr>
          <w:rFonts w:eastAsia="楷体_GB2312"/>
          <w:b/>
          <w:bCs/>
          <w:color w:val="000000"/>
          <w:sz w:val="24"/>
        </w:rPr>
        <w:t>s</w:t>
      </w:r>
      <w:r>
        <w:rPr>
          <w:rFonts w:hint="eastAsia" w:eastAsia="楷体_GB2312"/>
          <w:b/>
          <w:bCs/>
          <w:color w:val="000000"/>
          <w:sz w:val="24"/>
        </w:rPr>
        <w:t>.</w:t>
      </w:r>
      <w:r>
        <w:rPr>
          <w:rFonts w:hint="eastAsia" w:eastAsia="楷体_GB2312"/>
          <w:color w:val="000000"/>
          <w:sz w:val="24"/>
        </w:rPr>
        <w:t xml:space="preserve"> In January 2018, the PBC and the Taibei Branch of </w:t>
      </w:r>
      <w:r>
        <w:rPr>
          <w:rFonts w:eastAsia="楷体_GB2312"/>
          <w:color w:val="000000"/>
          <w:sz w:val="24"/>
        </w:rPr>
        <w:t xml:space="preserve">the </w:t>
      </w:r>
      <w:r>
        <w:rPr>
          <w:rFonts w:hint="eastAsia" w:eastAsia="楷体_GB2312"/>
          <w:color w:val="000000"/>
          <w:sz w:val="24"/>
        </w:rPr>
        <w:t xml:space="preserve">Bank of China renewed the </w:t>
      </w:r>
      <w:r>
        <w:rPr>
          <w:rFonts w:hint="eastAsia" w:eastAsia="楷体_GB2312"/>
          <w:i/>
          <w:iCs/>
          <w:color w:val="000000"/>
          <w:sz w:val="24"/>
        </w:rPr>
        <w:t>Agreement on the Clearing of RMB Businesses</w:t>
      </w:r>
      <w:r>
        <w:rPr>
          <w:rFonts w:hint="eastAsia" w:eastAsia="楷体_GB2312"/>
          <w:color w:val="000000"/>
          <w:sz w:val="24"/>
        </w:rPr>
        <w:t>. In February, the PBC designated JP</w:t>
      </w:r>
      <w:r>
        <w:rPr>
          <w:rFonts w:eastAsia="楷体_GB2312"/>
          <w:color w:val="000000"/>
          <w:sz w:val="24"/>
        </w:rPr>
        <w:t xml:space="preserve"> </w:t>
      </w:r>
      <w:r>
        <w:rPr>
          <w:rFonts w:hint="eastAsia" w:eastAsia="楷体_GB2312"/>
          <w:color w:val="000000"/>
          <w:sz w:val="24"/>
        </w:rPr>
        <w:t xml:space="preserve">Morgan Chase Bank as the second RMB clearing bank in the U.S. By the end of March 2018, the PBC had established RMB clearing arrangements in 23 countries and regions, </w:t>
      </w:r>
      <w:r>
        <w:rPr>
          <w:rFonts w:eastAsia="楷体_GB2312"/>
          <w:color w:val="000000"/>
          <w:sz w:val="24"/>
        </w:rPr>
        <w:t>including</w:t>
      </w:r>
      <w:r>
        <w:rPr>
          <w:rFonts w:hint="eastAsia" w:eastAsia="楷体_GB2312"/>
          <w:color w:val="000000"/>
          <w:sz w:val="24"/>
        </w:rPr>
        <w:t xml:space="preserve"> Asia, Europe, America, Oceania</w:t>
      </w:r>
      <w:r>
        <w:rPr>
          <w:rFonts w:eastAsia="楷体_GB2312"/>
          <w:color w:val="000000"/>
          <w:sz w:val="24"/>
        </w:rPr>
        <w:t>,</w:t>
      </w:r>
      <w:r>
        <w:rPr>
          <w:rFonts w:hint="eastAsia" w:eastAsia="楷体_GB2312"/>
          <w:color w:val="000000"/>
          <w:sz w:val="24"/>
        </w:rPr>
        <w:t xml:space="preserve"> and Africa. This will better tap </w:t>
      </w:r>
      <w:r>
        <w:rPr>
          <w:rFonts w:eastAsia="楷体_GB2312"/>
          <w:color w:val="000000"/>
          <w:sz w:val="24"/>
        </w:rPr>
        <w:t xml:space="preserve">into </w:t>
      </w:r>
      <w:r>
        <w:rPr>
          <w:rFonts w:hint="eastAsia" w:eastAsia="楷体_GB2312"/>
          <w:color w:val="000000"/>
          <w:sz w:val="24"/>
        </w:rPr>
        <w:t>the role of RMB clearing banks and make it easier for foreign entities to hold and use RMB.</w:t>
      </w:r>
    </w:p>
    <w:p>
      <w:pPr>
        <w:shd w:val="clear" w:color="auto" w:fill="CCFFCC"/>
        <w:rPr>
          <w:rFonts w:eastAsia="楷体_GB2312"/>
          <w:color w:val="000000"/>
          <w:sz w:val="24"/>
        </w:rPr>
      </w:pPr>
    </w:p>
    <w:p>
      <w:pPr>
        <w:shd w:val="clear" w:color="auto" w:fill="CCFFCC"/>
        <w:rPr>
          <w:rFonts w:eastAsia="楷体_GB2312"/>
          <w:color w:val="000000"/>
          <w:sz w:val="24"/>
        </w:rPr>
      </w:pPr>
      <w:r>
        <w:rPr>
          <w:rFonts w:hint="eastAsia" w:eastAsia="楷体_GB2312"/>
          <w:b/>
          <w:bCs/>
          <w:color w:val="000000"/>
          <w:sz w:val="24"/>
        </w:rPr>
        <w:t xml:space="preserve">Phase 2 of </w:t>
      </w:r>
      <w:r>
        <w:rPr>
          <w:rFonts w:eastAsia="楷体_GB2312"/>
          <w:b/>
          <w:bCs/>
          <w:color w:val="000000"/>
          <w:sz w:val="24"/>
        </w:rPr>
        <w:t xml:space="preserve">the </w:t>
      </w:r>
      <w:r>
        <w:rPr>
          <w:rFonts w:hint="eastAsia" w:eastAsia="楷体_GB2312"/>
          <w:b/>
          <w:bCs/>
          <w:color w:val="000000"/>
          <w:sz w:val="24"/>
        </w:rPr>
        <w:t>RMB Cross-border Inter</w:t>
      </w:r>
      <w:r>
        <w:rPr>
          <w:rFonts w:eastAsia="楷体_GB2312"/>
          <w:b/>
          <w:bCs/>
          <w:color w:val="000000"/>
          <w:sz w:val="24"/>
        </w:rPr>
        <w:t>-</w:t>
      </w:r>
      <w:r>
        <w:rPr>
          <w:rFonts w:hint="eastAsia" w:eastAsia="楷体_GB2312"/>
          <w:b/>
          <w:bCs/>
          <w:color w:val="000000"/>
          <w:sz w:val="24"/>
        </w:rPr>
        <w:t>bank Payment System (CIPS) was officially launched.</w:t>
      </w:r>
      <w:r>
        <w:rPr>
          <w:rFonts w:hint="eastAsia" w:eastAsia="楷体_GB2312"/>
          <w:color w:val="000000"/>
          <w:sz w:val="24"/>
        </w:rPr>
        <w:t xml:space="preserve"> On March 26, 2018, Phase 2 of </w:t>
      </w:r>
      <w:r>
        <w:rPr>
          <w:rFonts w:eastAsia="楷体_GB2312"/>
          <w:color w:val="000000"/>
          <w:sz w:val="24"/>
        </w:rPr>
        <w:t xml:space="preserve">the </w:t>
      </w:r>
      <w:r>
        <w:rPr>
          <w:rFonts w:hint="eastAsia" w:eastAsia="楷体_GB2312"/>
          <w:color w:val="000000"/>
          <w:sz w:val="24"/>
        </w:rPr>
        <w:t xml:space="preserve">RMB CIPS was launched for trial operation, and ten Chinese and foreign banks (direct participants) </w:t>
      </w:r>
      <w:r>
        <w:rPr>
          <w:rFonts w:eastAsia="楷体_GB2312"/>
          <w:color w:val="000000"/>
          <w:sz w:val="24"/>
        </w:rPr>
        <w:t xml:space="preserve">simultaneously </w:t>
      </w:r>
      <w:r>
        <w:rPr>
          <w:rFonts w:hint="eastAsia" w:eastAsia="楷体_GB2312"/>
          <w:color w:val="000000"/>
          <w:sz w:val="24"/>
        </w:rPr>
        <w:t>came online On May 2, the Phase 2</w:t>
      </w:r>
      <w:r>
        <w:rPr>
          <w:rFonts w:eastAsia="楷体_GB2312"/>
          <w:color w:val="000000"/>
          <w:sz w:val="24"/>
        </w:rPr>
        <w:t xml:space="preserve"> of the CIPS</w:t>
      </w:r>
      <w:r>
        <w:rPr>
          <w:rFonts w:hint="eastAsia" w:eastAsia="楷体_GB2312"/>
          <w:color w:val="000000"/>
          <w:sz w:val="24"/>
        </w:rPr>
        <w:t xml:space="preserve"> was fully launched. The operating hours of the Phase 2</w:t>
      </w:r>
      <w:r>
        <w:rPr>
          <w:rFonts w:eastAsia="楷体_GB2312"/>
          <w:color w:val="000000"/>
          <w:sz w:val="24"/>
        </w:rPr>
        <w:t xml:space="preserve"> of the CIPS</w:t>
      </w:r>
      <w:r>
        <w:rPr>
          <w:rFonts w:hint="eastAsia" w:eastAsia="楷体_GB2312"/>
          <w:color w:val="000000"/>
          <w:sz w:val="24"/>
        </w:rPr>
        <w:t xml:space="preserve"> have </w:t>
      </w:r>
      <w:r>
        <w:rPr>
          <w:rFonts w:eastAsia="楷体_GB2312"/>
          <w:color w:val="000000"/>
          <w:sz w:val="24"/>
        </w:rPr>
        <w:t xml:space="preserve">been further </w:t>
      </w:r>
      <w:r>
        <w:rPr>
          <w:rFonts w:hint="eastAsia" w:eastAsia="楷体_GB2312"/>
          <w:color w:val="000000"/>
          <w:sz w:val="24"/>
        </w:rPr>
        <w:t>extended, basically covering all time zone</w:t>
      </w:r>
      <w:r>
        <w:rPr>
          <w:rFonts w:eastAsia="楷体_GB2312"/>
          <w:color w:val="000000"/>
          <w:sz w:val="24"/>
        </w:rPr>
        <w:t>s and</w:t>
      </w:r>
      <w:r>
        <w:rPr>
          <w:rFonts w:hint="eastAsia" w:eastAsia="楷体_GB2312"/>
          <w:color w:val="000000"/>
          <w:sz w:val="24"/>
        </w:rPr>
        <w:t xml:space="preserve"> providing support for RMB payment</w:t>
      </w:r>
      <w:r>
        <w:rPr>
          <w:rFonts w:eastAsia="楷体_GB2312"/>
          <w:color w:val="000000"/>
          <w:sz w:val="24"/>
        </w:rPr>
        <w:t>s</w:t>
      </w:r>
      <w:r>
        <w:rPr>
          <w:rFonts w:hint="eastAsia" w:eastAsia="楷体_GB2312"/>
          <w:color w:val="000000"/>
          <w:sz w:val="24"/>
        </w:rPr>
        <w:t xml:space="preserve"> and financial</w:t>
      </w:r>
      <w:r>
        <w:rPr>
          <w:rFonts w:eastAsia="楷体_GB2312"/>
          <w:color w:val="000000"/>
          <w:sz w:val="24"/>
        </w:rPr>
        <w:t>-</w:t>
      </w:r>
      <w:r>
        <w:rPr>
          <w:rFonts w:hint="eastAsia" w:eastAsia="楷体_GB2312"/>
          <w:color w:val="000000"/>
          <w:sz w:val="24"/>
        </w:rPr>
        <w:t xml:space="preserve">market businesses. By the end of March 2018, there </w:t>
      </w:r>
      <w:r>
        <w:rPr>
          <w:rFonts w:eastAsia="楷体_GB2312"/>
          <w:color w:val="000000"/>
          <w:sz w:val="24"/>
        </w:rPr>
        <w:t xml:space="preserve">were </w:t>
      </w:r>
      <w:r>
        <w:rPr>
          <w:rFonts w:hint="eastAsia" w:eastAsia="楷体_GB2312"/>
          <w:color w:val="000000"/>
          <w:sz w:val="24"/>
        </w:rPr>
        <w:t>31 direct participants and 695 indirect participants.</w:t>
      </w:r>
    </w:p>
    <w:p>
      <w:pPr>
        <w:shd w:val="clear" w:color="auto" w:fill="CCFFCC"/>
        <w:rPr>
          <w:rFonts w:eastAsia="楷体_GB2312"/>
          <w:color w:val="000000"/>
          <w:sz w:val="24"/>
        </w:rPr>
      </w:pPr>
    </w:p>
    <w:p>
      <w:pPr>
        <w:shd w:val="clear" w:color="auto" w:fill="CCFFCC"/>
        <w:rPr>
          <w:rFonts w:eastAsia="楷体_GB2312"/>
          <w:color w:val="000000"/>
          <w:sz w:val="24"/>
        </w:rPr>
      </w:pPr>
      <w:r>
        <w:rPr>
          <w:rFonts w:hint="eastAsia" w:eastAsia="楷体_GB2312"/>
          <w:color w:val="000000"/>
          <w:sz w:val="24"/>
        </w:rPr>
        <w:t>Going forward, guided by the principle of market-driven development and the goal of serving the real economy and facilitating trade and investment, the PBC will continue to improve the policy framework for RMB cross-border businesses and will enhance the necessary infrastructure in response to the growing international use of the RMB.</w:t>
      </w:r>
    </w:p>
    <w:p/>
    <w:p>
      <w:pPr>
        <w:keepNext/>
        <w:keepLines/>
        <w:spacing w:beforeLines="100" w:afterLines="100"/>
        <w:jc w:val="center"/>
        <w:outlineLvl w:val="0"/>
        <w:rPr>
          <w:rFonts w:eastAsia="仿宋_GB2312"/>
          <w:b/>
          <w:sz w:val="24"/>
        </w:rPr>
      </w:pPr>
      <w:bookmarkStart w:id="58" w:name="_Toc23002"/>
      <w:bookmarkStart w:id="59" w:name="_Toc517190505"/>
      <w:bookmarkStart w:id="60" w:name="_Toc492904383"/>
      <w:bookmarkStart w:id="61" w:name="_Toc498715387"/>
      <w:bookmarkStart w:id="62" w:name="_Toc498421789"/>
      <w:r>
        <w:rPr>
          <w:rFonts w:eastAsia="仿宋_GB2312"/>
          <w:b/>
          <w:sz w:val="24"/>
        </w:rPr>
        <w:t xml:space="preserve">Part 2. </w:t>
      </w:r>
      <w:bookmarkEnd w:id="58"/>
      <w:r>
        <w:rPr>
          <w:rFonts w:eastAsia="仿宋_GB2312"/>
          <w:b/>
          <w:sz w:val="24"/>
        </w:rPr>
        <w:t>Monetary Policy Operations</w:t>
      </w:r>
      <w:bookmarkEnd w:id="59"/>
    </w:p>
    <w:p>
      <w:pPr>
        <w:pStyle w:val="125"/>
        <w:widowControl w:val="0"/>
        <w:rPr>
          <w:rFonts w:eastAsia="Times New Roman"/>
          <w:sz w:val="24"/>
          <w:szCs w:val="24"/>
        </w:rPr>
      </w:pPr>
    </w:p>
    <w:p>
      <w:pPr>
        <w:pStyle w:val="125"/>
        <w:widowControl w:val="0"/>
        <w:rPr>
          <w:sz w:val="24"/>
          <w:szCs w:val="24"/>
        </w:rPr>
      </w:pPr>
      <w:r>
        <w:rPr>
          <w:rFonts w:hint="eastAsia"/>
          <w:sz w:val="24"/>
          <w:szCs w:val="24"/>
        </w:rPr>
        <w:t>In Q1 of</w:t>
      </w:r>
      <w:r>
        <w:rPr>
          <w:rFonts w:eastAsia="Times New Roman"/>
          <w:sz w:val="24"/>
          <w:szCs w:val="24"/>
        </w:rPr>
        <w:t xml:space="preserve"> 201</w:t>
      </w:r>
      <w:r>
        <w:rPr>
          <w:rFonts w:hint="eastAsia"/>
          <w:sz w:val="24"/>
          <w:szCs w:val="24"/>
        </w:rPr>
        <w:t>8</w:t>
      </w:r>
      <w:r>
        <w:rPr>
          <w:rFonts w:eastAsia="Times New Roman"/>
          <w:sz w:val="24"/>
          <w:szCs w:val="24"/>
        </w:rPr>
        <w:t xml:space="preserve"> </w:t>
      </w:r>
      <w:r>
        <w:rPr>
          <w:rFonts w:hint="eastAsia"/>
          <w:sz w:val="24"/>
          <w:szCs w:val="24"/>
        </w:rPr>
        <w:t xml:space="preserve">the Chinese economy </w:t>
      </w:r>
      <w:r>
        <w:rPr>
          <w:sz w:val="24"/>
          <w:szCs w:val="24"/>
        </w:rPr>
        <w:t xml:space="preserve">set the </w:t>
      </w:r>
      <w:r>
        <w:rPr>
          <w:rFonts w:hint="eastAsia"/>
          <w:sz w:val="24"/>
          <w:szCs w:val="24"/>
        </w:rPr>
        <w:t>stage</w:t>
      </w:r>
      <w:r>
        <w:rPr>
          <w:sz w:val="24"/>
          <w:szCs w:val="24"/>
        </w:rPr>
        <w:t xml:space="preserve"> for</w:t>
      </w:r>
      <w:r>
        <w:rPr>
          <w:rFonts w:hint="eastAsia"/>
          <w:sz w:val="24"/>
          <w:szCs w:val="24"/>
        </w:rPr>
        <w:t xml:space="preserve"> a good start as its economic structure continued to </w:t>
      </w:r>
      <w:r>
        <w:rPr>
          <w:sz w:val="24"/>
          <w:szCs w:val="24"/>
        </w:rPr>
        <w:t xml:space="preserve">be </w:t>
      </w:r>
      <w:r>
        <w:rPr>
          <w:rFonts w:hint="eastAsia"/>
          <w:sz w:val="24"/>
          <w:szCs w:val="24"/>
        </w:rPr>
        <w:t>optimize</w:t>
      </w:r>
      <w:r>
        <w:rPr>
          <w:sz w:val="24"/>
          <w:szCs w:val="24"/>
        </w:rPr>
        <w:t>d</w:t>
      </w:r>
      <w:r>
        <w:rPr>
          <w:rFonts w:hint="eastAsia"/>
          <w:sz w:val="24"/>
          <w:szCs w:val="24"/>
        </w:rPr>
        <w:t>. Under the leadership</w:t>
      </w:r>
      <w:r>
        <w:rPr>
          <w:rFonts w:eastAsia="Times New Roman"/>
          <w:sz w:val="24"/>
          <w:szCs w:val="24"/>
        </w:rPr>
        <w:t xml:space="preserve"> of the Central Committee of the Communist </w:t>
      </w:r>
      <w:r>
        <w:rPr>
          <w:rFonts w:hint="eastAsia"/>
          <w:sz w:val="24"/>
          <w:szCs w:val="24"/>
        </w:rPr>
        <w:t>Party</w:t>
      </w:r>
      <w:r>
        <w:rPr>
          <w:sz w:val="24"/>
          <w:szCs w:val="24"/>
        </w:rPr>
        <w:t xml:space="preserve"> of China (CPC)</w:t>
      </w:r>
      <w:r>
        <w:rPr>
          <w:rFonts w:hint="eastAsia"/>
          <w:sz w:val="24"/>
          <w:szCs w:val="24"/>
        </w:rPr>
        <w:t xml:space="preserve"> </w:t>
      </w:r>
      <w:r>
        <w:rPr>
          <w:rFonts w:eastAsia="Times New Roman"/>
          <w:sz w:val="24"/>
          <w:szCs w:val="24"/>
        </w:rPr>
        <w:t xml:space="preserve">and the State Council, the PBC </w:t>
      </w:r>
      <w:r>
        <w:rPr>
          <w:sz w:val="24"/>
          <w:szCs w:val="24"/>
        </w:rPr>
        <w:t>is</w:t>
      </w:r>
      <w:r>
        <w:rPr>
          <w:rFonts w:hint="eastAsia"/>
          <w:sz w:val="24"/>
          <w:szCs w:val="24"/>
        </w:rPr>
        <w:t xml:space="preserve"> committed to implement</w:t>
      </w:r>
      <w:r>
        <w:rPr>
          <w:sz w:val="24"/>
          <w:szCs w:val="24"/>
        </w:rPr>
        <w:t>ing</w:t>
      </w:r>
      <w:r>
        <w:rPr>
          <w:rFonts w:hint="eastAsia"/>
          <w:sz w:val="24"/>
          <w:szCs w:val="24"/>
        </w:rPr>
        <w:t xml:space="preserve"> </w:t>
      </w:r>
      <w:r>
        <w:rPr>
          <w:rFonts w:eastAsia="Times New Roman"/>
          <w:sz w:val="24"/>
          <w:szCs w:val="24"/>
        </w:rPr>
        <w:t>a</w:t>
      </w:r>
      <w:r>
        <w:rPr>
          <w:rFonts w:hint="eastAsia" w:eastAsia="Times New Roman"/>
          <w:sz w:val="24"/>
          <w:szCs w:val="24"/>
        </w:rPr>
        <w:t xml:space="preserve"> new development philosophy</w:t>
      </w:r>
      <w:r>
        <w:rPr>
          <w:rFonts w:hint="eastAsia"/>
          <w:sz w:val="24"/>
          <w:szCs w:val="24"/>
        </w:rPr>
        <w:t xml:space="preserve"> and </w:t>
      </w:r>
      <w:r>
        <w:rPr>
          <w:sz w:val="24"/>
          <w:szCs w:val="24"/>
        </w:rPr>
        <w:t xml:space="preserve">to </w:t>
      </w:r>
      <w:r>
        <w:rPr>
          <w:rFonts w:hint="eastAsia"/>
          <w:sz w:val="24"/>
          <w:szCs w:val="24"/>
        </w:rPr>
        <w:t>strongly promoting high-quality development in response</w:t>
      </w:r>
      <w:r>
        <w:rPr>
          <w:rFonts w:hint="eastAsia" w:eastAsia="Times New Roman"/>
          <w:sz w:val="24"/>
          <w:szCs w:val="24"/>
        </w:rPr>
        <w:t xml:space="preserve"> to</w:t>
      </w:r>
      <w:r>
        <w:rPr>
          <w:rFonts w:hint="eastAsia"/>
          <w:sz w:val="24"/>
          <w:szCs w:val="24"/>
        </w:rPr>
        <w:t xml:space="preserve"> </w:t>
      </w:r>
      <w:r>
        <w:rPr>
          <w:rFonts w:hint="eastAsia" w:eastAsia="Times New Roman"/>
          <w:sz w:val="24"/>
          <w:szCs w:val="24"/>
        </w:rPr>
        <w:t>the principal contradiction</w:t>
      </w:r>
      <w:r>
        <w:rPr>
          <w:rFonts w:eastAsia="Times New Roman"/>
          <w:sz w:val="24"/>
          <w:szCs w:val="24"/>
        </w:rPr>
        <w:t xml:space="preserve">s </w:t>
      </w:r>
      <w:r>
        <w:rPr>
          <w:rFonts w:hint="eastAsia" w:eastAsia="Times New Roman"/>
          <w:sz w:val="24"/>
          <w:szCs w:val="24"/>
        </w:rPr>
        <w:t>in Chinese</w:t>
      </w:r>
      <w:r>
        <w:rPr>
          <w:rFonts w:hint="eastAsia"/>
          <w:sz w:val="24"/>
          <w:szCs w:val="24"/>
        </w:rPr>
        <w:t xml:space="preserve"> </w:t>
      </w:r>
      <w:r>
        <w:rPr>
          <w:rFonts w:hint="eastAsia" w:eastAsia="Times New Roman"/>
          <w:sz w:val="24"/>
          <w:szCs w:val="24"/>
        </w:rPr>
        <w:t>society</w:t>
      </w:r>
      <w:r>
        <w:rPr>
          <w:rFonts w:hint="eastAsia"/>
          <w:sz w:val="24"/>
          <w:szCs w:val="24"/>
        </w:rPr>
        <w:t xml:space="preserve"> and </w:t>
      </w:r>
      <w:r>
        <w:rPr>
          <w:sz w:val="24"/>
          <w:szCs w:val="24"/>
        </w:rPr>
        <w:t xml:space="preserve">the </w:t>
      </w:r>
      <w:r>
        <w:rPr>
          <w:rFonts w:hint="eastAsia" w:eastAsia="Times New Roman"/>
          <w:sz w:val="24"/>
          <w:szCs w:val="24"/>
        </w:rPr>
        <w:t>change</w:t>
      </w:r>
      <w:r>
        <w:rPr>
          <w:rFonts w:hint="eastAsia"/>
          <w:sz w:val="24"/>
          <w:szCs w:val="24"/>
        </w:rPr>
        <w:t xml:space="preserve">s in its economic development. </w:t>
      </w:r>
      <w:r>
        <w:rPr>
          <w:sz w:val="24"/>
          <w:szCs w:val="24"/>
        </w:rPr>
        <w:t>In particular</w:t>
      </w:r>
      <w:r>
        <w:rPr>
          <w:rFonts w:hint="eastAsia"/>
          <w:sz w:val="24"/>
          <w:szCs w:val="24"/>
        </w:rPr>
        <w:t xml:space="preserve">, in </w:t>
      </w:r>
      <w:r>
        <w:rPr>
          <w:rFonts w:eastAsia="Times New Roman"/>
          <w:sz w:val="24"/>
          <w:szCs w:val="24"/>
        </w:rPr>
        <w:t>foster</w:t>
      </w:r>
      <w:r>
        <w:rPr>
          <w:rFonts w:hint="eastAsia"/>
          <w:sz w:val="24"/>
          <w:szCs w:val="24"/>
        </w:rPr>
        <w:t>ing</w:t>
      </w:r>
      <w:r>
        <w:rPr>
          <w:rFonts w:eastAsia="Times New Roman"/>
          <w:sz w:val="24"/>
          <w:szCs w:val="24"/>
        </w:rPr>
        <w:t xml:space="preserve"> a</w:t>
      </w:r>
      <w:r>
        <w:rPr>
          <w:rFonts w:hint="eastAsia"/>
          <w:sz w:val="24"/>
          <w:szCs w:val="24"/>
        </w:rPr>
        <w:t xml:space="preserve">n </w:t>
      </w:r>
      <w:r>
        <w:rPr>
          <w:rFonts w:eastAsia="Times New Roman"/>
          <w:sz w:val="24"/>
          <w:szCs w:val="24"/>
        </w:rPr>
        <w:t>appropriate monetary and financial environment for supply-side structural reforms and high-quality development</w:t>
      </w:r>
      <w:r>
        <w:rPr>
          <w:rFonts w:hint="eastAsia"/>
          <w:sz w:val="24"/>
          <w:szCs w:val="24"/>
        </w:rPr>
        <w:t>, the PBC continued to implement a prudent and neutral monetary policy, balanced economic growth and structural adjustment</w:t>
      </w:r>
      <w:r>
        <w:rPr>
          <w:sz w:val="24"/>
          <w:szCs w:val="24"/>
        </w:rPr>
        <w:t>s</w:t>
      </w:r>
      <w:r>
        <w:rPr>
          <w:rFonts w:hint="eastAsia"/>
          <w:sz w:val="24"/>
          <w:szCs w:val="24"/>
        </w:rPr>
        <w:t xml:space="preserve">, improved the transmission mechanism </w:t>
      </w:r>
      <w:r>
        <w:rPr>
          <w:sz w:val="24"/>
          <w:szCs w:val="24"/>
        </w:rPr>
        <w:t>for</w:t>
      </w:r>
      <w:r>
        <w:rPr>
          <w:rFonts w:hint="eastAsia"/>
          <w:sz w:val="24"/>
          <w:szCs w:val="24"/>
        </w:rPr>
        <w:t xml:space="preserve"> monetary policy, maintained a reasonable</w:t>
      </w:r>
      <w:r>
        <w:rPr>
          <w:sz w:val="24"/>
          <w:szCs w:val="24"/>
        </w:rPr>
        <w:t xml:space="preserve"> and</w:t>
      </w:r>
      <w:r>
        <w:rPr>
          <w:rFonts w:hint="eastAsia"/>
          <w:sz w:val="24"/>
          <w:szCs w:val="24"/>
        </w:rPr>
        <w:t xml:space="preserve"> stable level of liquidity, improved the regulatory framework underpinned by monetary and macro-prudential policies, promoted the opening-up and reform of </w:t>
      </w:r>
      <w:r>
        <w:rPr>
          <w:sz w:val="24"/>
          <w:szCs w:val="24"/>
        </w:rPr>
        <w:t>the f</w:t>
      </w:r>
      <w:r>
        <w:rPr>
          <w:rFonts w:hint="eastAsia"/>
          <w:sz w:val="24"/>
          <w:szCs w:val="24"/>
        </w:rPr>
        <w:t>inancial sector, and took steady and systematic steps to defuse all kinds of risks in the financial sector.</w:t>
      </w:r>
    </w:p>
    <w:p>
      <w:pPr>
        <w:pStyle w:val="125"/>
        <w:widowControl w:val="0"/>
        <w:rPr>
          <w:rFonts w:eastAsia="Times New Roman"/>
          <w:sz w:val="24"/>
          <w:szCs w:val="24"/>
        </w:rPr>
      </w:pPr>
    </w:p>
    <w:p>
      <w:pPr>
        <w:pStyle w:val="3"/>
        <w:ind w:firstLine="0" w:firstLineChars="0"/>
        <w:rPr>
          <w:rFonts w:ascii="Times New Roman" w:hAnsi="Times New Roman"/>
          <w:sz w:val="24"/>
          <w:szCs w:val="24"/>
        </w:rPr>
      </w:pPr>
      <w:bookmarkStart w:id="63" w:name="_Toc517190506"/>
      <w:bookmarkStart w:id="64" w:name="_Toc29086"/>
      <w:r>
        <w:rPr>
          <w:rFonts w:ascii="Times New Roman" w:hAnsi="Times New Roman"/>
          <w:sz w:val="24"/>
          <w:szCs w:val="24"/>
        </w:rPr>
        <w:t xml:space="preserve">I. </w:t>
      </w:r>
      <w:r>
        <w:rPr>
          <w:rFonts w:hint="eastAsia" w:ascii="Times New Roman" w:hAnsi="Times New Roman"/>
          <w:sz w:val="24"/>
          <w:szCs w:val="24"/>
        </w:rPr>
        <w:t xml:space="preserve">Conducting </w:t>
      </w:r>
      <w:r>
        <w:rPr>
          <w:rFonts w:ascii="Times New Roman" w:hAnsi="Times New Roman"/>
          <w:sz w:val="24"/>
          <w:szCs w:val="24"/>
        </w:rPr>
        <w:t xml:space="preserve">Open Market Operations </w:t>
      </w:r>
      <w:r>
        <w:rPr>
          <w:rFonts w:hint="eastAsia" w:ascii="Times New Roman" w:hAnsi="Times New Roman"/>
          <w:sz w:val="24"/>
          <w:szCs w:val="24"/>
        </w:rPr>
        <w:t xml:space="preserve">(OMOs) </w:t>
      </w:r>
      <w:r>
        <w:rPr>
          <w:rFonts w:ascii="Times New Roman" w:hAnsi="Times New Roman"/>
          <w:sz w:val="24"/>
          <w:szCs w:val="24"/>
        </w:rPr>
        <w:t>in a Flexible Manner</w:t>
      </w:r>
      <w:bookmarkEnd w:id="63"/>
      <w:bookmarkEnd w:id="64"/>
    </w:p>
    <w:p>
      <w:pPr>
        <w:pStyle w:val="125"/>
        <w:rPr>
          <w:sz w:val="24"/>
          <w:szCs w:val="24"/>
        </w:rPr>
      </w:pPr>
      <w:r>
        <w:rPr>
          <w:rFonts w:hint="eastAsia"/>
          <w:sz w:val="24"/>
          <w:szCs w:val="24"/>
        </w:rPr>
        <w:t>As</w:t>
      </w:r>
      <w:r>
        <w:rPr>
          <w:rFonts w:eastAsia="Times New Roman"/>
          <w:sz w:val="24"/>
          <w:szCs w:val="24"/>
        </w:rPr>
        <w:t xml:space="preserve"> a </w:t>
      </w:r>
      <w:r>
        <w:rPr>
          <w:rFonts w:hint="eastAsia"/>
          <w:sz w:val="24"/>
          <w:szCs w:val="24"/>
        </w:rPr>
        <w:t>number</w:t>
      </w:r>
      <w:r>
        <w:rPr>
          <w:rFonts w:eastAsia="Times New Roman"/>
          <w:sz w:val="24"/>
          <w:szCs w:val="24"/>
        </w:rPr>
        <w:t xml:space="preserve"> of </w:t>
      </w:r>
      <w:r>
        <w:rPr>
          <w:rFonts w:hint="eastAsia"/>
          <w:sz w:val="24"/>
          <w:szCs w:val="24"/>
        </w:rPr>
        <w:t xml:space="preserve">interwoven </w:t>
      </w:r>
      <w:r>
        <w:rPr>
          <w:rFonts w:eastAsia="Times New Roman"/>
          <w:sz w:val="24"/>
          <w:szCs w:val="24"/>
        </w:rPr>
        <w:t xml:space="preserve">temporary and seasonal factors </w:t>
      </w:r>
      <w:r>
        <w:rPr>
          <w:rFonts w:hint="eastAsia"/>
          <w:sz w:val="24"/>
          <w:szCs w:val="24"/>
        </w:rPr>
        <w:t>affect</w:t>
      </w:r>
      <w:r>
        <w:rPr>
          <w:rFonts w:eastAsia="Times New Roman"/>
          <w:sz w:val="24"/>
          <w:szCs w:val="24"/>
        </w:rPr>
        <w:t xml:space="preserve">ed </w:t>
      </w:r>
      <w:r>
        <w:rPr>
          <w:rFonts w:hint="eastAsia"/>
          <w:sz w:val="24"/>
          <w:szCs w:val="24"/>
        </w:rPr>
        <w:t>liquidity in the banking system i</w:t>
      </w:r>
      <w:r>
        <w:rPr>
          <w:sz w:val="24"/>
          <w:szCs w:val="24"/>
        </w:rPr>
        <w:t>n</w:t>
      </w:r>
      <w:r>
        <w:rPr>
          <w:rFonts w:hint="eastAsia"/>
          <w:sz w:val="24"/>
          <w:szCs w:val="24"/>
        </w:rPr>
        <w:t xml:space="preserve"> Q1, </w:t>
      </w:r>
      <w:r>
        <w:rPr>
          <w:rFonts w:eastAsia="Times New Roman"/>
          <w:sz w:val="24"/>
          <w:szCs w:val="24"/>
        </w:rPr>
        <w:t xml:space="preserve">the PBC </w:t>
      </w:r>
      <w:r>
        <w:rPr>
          <w:rFonts w:hint="eastAsia"/>
          <w:sz w:val="24"/>
          <w:szCs w:val="24"/>
        </w:rPr>
        <w:t>enhanced pre-emptive adjustments and fine-tunings and conducted OMOs with a combination of tools and maturities i</w:t>
      </w:r>
      <w:r>
        <w:rPr>
          <w:rFonts w:eastAsia="Times New Roman"/>
          <w:sz w:val="24"/>
          <w:szCs w:val="24"/>
        </w:rPr>
        <w:t>n line with the requirements for a prudent and neutral monetary policy</w:t>
      </w:r>
      <w:r>
        <w:rPr>
          <w:rFonts w:hint="eastAsia"/>
          <w:sz w:val="24"/>
          <w:szCs w:val="24"/>
        </w:rPr>
        <w:t xml:space="preserve">, which helped </w:t>
      </w:r>
      <w:r>
        <w:rPr>
          <w:sz w:val="24"/>
          <w:szCs w:val="24"/>
        </w:rPr>
        <w:t xml:space="preserve">to </w:t>
      </w:r>
      <w:r>
        <w:rPr>
          <w:rFonts w:hint="eastAsia"/>
          <w:sz w:val="24"/>
          <w:szCs w:val="24"/>
        </w:rPr>
        <w:t>keep liquidity in the banking system at a reasonable</w:t>
      </w:r>
      <w:r>
        <w:rPr>
          <w:sz w:val="24"/>
          <w:szCs w:val="24"/>
        </w:rPr>
        <w:t xml:space="preserve"> and </w:t>
      </w:r>
      <w:r>
        <w:rPr>
          <w:rFonts w:hint="eastAsia"/>
          <w:sz w:val="24"/>
          <w:szCs w:val="24"/>
        </w:rPr>
        <w:t xml:space="preserve">stable level and </w:t>
      </w:r>
      <w:r>
        <w:rPr>
          <w:sz w:val="24"/>
          <w:szCs w:val="24"/>
        </w:rPr>
        <w:t xml:space="preserve">to keep </w:t>
      </w:r>
      <w:r>
        <w:rPr>
          <w:rFonts w:hint="eastAsia"/>
          <w:sz w:val="24"/>
          <w:szCs w:val="24"/>
        </w:rPr>
        <w:t xml:space="preserve">money-market interest rates </w:t>
      </w:r>
      <w:r>
        <w:rPr>
          <w:sz w:val="24"/>
          <w:szCs w:val="24"/>
        </w:rPr>
        <w:t xml:space="preserve">stable. </w:t>
      </w:r>
    </w:p>
    <w:p>
      <w:pPr>
        <w:pStyle w:val="125"/>
        <w:rPr>
          <w:rFonts w:eastAsia="Times New Roman"/>
          <w:sz w:val="24"/>
          <w:szCs w:val="24"/>
        </w:rPr>
      </w:pPr>
    </w:p>
    <w:p>
      <w:pPr>
        <w:pStyle w:val="125"/>
        <w:rPr>
          <w:sz w:val="24"/>
          <w:szCs w:val="24"/>
        </w:rPr>
      </w:pPr>
      <w:r>
        <w:rPr>
          <w:b/>
          <w:bCs/>
          <w:sz w:val="24"/>
          <w:szCs w:val="24"/>
        </w:rPr>
        <w:t>A n</w:t>
      </w:r>
      <w:r>
        <w:rPr>
          <w:rFonts w:hint="eastAsia"/>
          <w:b/>
          <w:bCs/>
          <w:sz w:val="24"/>
          <w:szCs w:val="24"/>
        </w:rPr>
        <w:t xml:space="preserve">ew tool was </w:t>
      </w:r>
      <w:r>
        <w:rPr>
          <w:b/>
          <w:bCs/>
          <w:sz w:val="24"/>
          <w:szCs w:val="24"/>
        </w:rPr>
        <w:t>introduced</w:t>
      </w:r>
      <w:r>
        <w:rPr>
          <w:rFonts w:hint="eastAsia"/>
          <w:b/>
          <w:bCs/>
          <w:sz w:val="24"/>
          <w:szCs w:val="24"/>
        </w:rPr>
        <w:t xml:space="preserve"> to smooth seasonal </w:t>
      </w:r>
      <w:r>
        <w:rPr>
          <w:b/>
          <w:bCs/>
          <w:sz w:val="24"/>
          <w:szCs w:val="24"/>
        </w:rPr>
        <w:t xml:space="preserve">liquidity </w:t>
      </w:r>
      <w:r>
        <w:rPr>
          <w:rFonts w:hint="eastAsia"/>
          <w:b/>
          <w:bCs/>
          <w:sz w:val="24"/>
          <w:szCs w:val="24"/>
        </w:rPr>
        <w:t>fluctuations.</w:t>
      </w:r>
      <w:r>
        <w:rPr>
          <w:rFonts w:hint="eastAsia"/>
          <w:sz w:val="24"/>
          <w:szCs w:val="24"/>
        </w:rPr>
        <w:t xml:space="preserve"> The PBC appropriately injected liquidity into the market ahead of the Spring Festival as necessary via </w:t>
      </w:r>
      <w:r>
        <w:rPr>
          <w:sz w:val="24"/>
          <w:szCs w:val="24"/>
        </w:rPr>
        <w:t>a</w:t>
      </w:r>
      <w:r>
        <w:rPr>
          <w:rFonts w:hint="eastAsia"/>
          <w:sz w:val="24"/>
          <w:szCs w:val="24"/>
        </w:rPr>
        <w:t xml:space="preserve"> new tool, called</w:t>
      </w:r>
      <w:r>
        <w:rPr>
          <w:sz w:val="24"/>
          <w:szCs w:val="24"/>
        </w:rPr>
        <w:t xml:space="preserve"> the</w:t>
      </w:r>
      <w:r>
        <w:rPr>
          <w:rFonts w:hint="eastAsia"/>
          <w:sz w:val="24"/>
          <w:szCs w:val="24"/>
        </w:rPr>
        <w:t xml:space="preserve"> Contingent Reserve Allowance (CRA), as well as </w:t>
      </w:r>
      <w:r>
        <w:rPr>
          <w:sz w:val="24"/>
          <w:szCs w:val="24"/>
        </w:rPr>
        <w:t xml:space="preserve">via </w:t>
      </w:r>
      <w:r>
        <w:rPr>
          <w:rFonts w:hint="eastAsia"/>
          <w:sz w:val="24"/>
          <w:szCs w:val="24"/>
        </w:rPr>
        <w:t>various other policy tools</w:t>
      </w:r>
      <w:r>
        <w:rPr>
          <w:sz w:val="24"/>
          <w:szCs w:val="24"/>
        </w:rPr>
        <w:t>,</w:t>
      </w:r>
      <w:r>
        <w:rPr>
          <w:rFonts w:hint="eastAsia"/>
          <w:sz w:val="24"/>
          <w:szCs w:val="24"/>
        </w:rPr>
        <w:t xml:space="preserve"> such as </w:t>
      </w:r>
      <w:r>
        <w:rPr>
          <w:sz w:val="24"/>
          <w:szCs w:val="24"/>
        </w:rPr>
        <w:t xml:space="preserve">the </w:t>
      </w:r>
      <w:r>
        <w:rPr>
          <w:rFonts w:hint="eastAsia"/>
          <w:sz w:val="24"/>
          <w:szCs w:val="24"/>
        </w:rPr>
        <w:t>Targeted Reserve Requirement Ratio (RRR) cuts for inclusive financ</w:t>
      </w:r>
      <w:r>
        <w:rPr>
          <w:sz w:val="24"/>
          <w:szCs w:val="24"/>
        </w:rPr>
        <w:t>ing</w:t>
      </w:r>
      <w:r>
        <w:rPr>
          <w:rFonts w:hint="eastAsia"/>
          <w:sz w:val="24"/>
          <w:szCs w:val="24"/>
        </w:rPr>
        <w:t xml:space="preserve">, </w:t>
      </w:r>
      <w:r>
        <w:rPr>
          <w:sz w:val="24"/>
          <w:szCs w:val="24"/>
        </w:rPr>
        <w:t xml:space="preserve">the </w:t>
      </w:r>
      <w:r>
        <w:rPr>
          <w:rFonts w:hint="eastAsia"/>
          <w:sz w:val="24"/>
          <w:szCs w:val="24"/>
        </w:rPr>
        <w:t xml:space="preserve">Medium-term Lending Facility (MLF), and repos. These moves smoothed out liquidity volatility caused by factors such as </w:t>
      </w:r>
      <w:r>
        <w:rPr>
          <w:sz w:val="24"/>
          <w:szCs w:val="24"/>
        </w:rPr>
        <w:t xml:space="preserve">the </w:t>
      </w:r>
      <w:r>
        <w:rPr>
          <w:rFonts w:hint="eastAsia"/>
          <w:sz w:val="24"/>
          <w:szCs w:val="24"/>
        </w:rPr>
        <w:t xml:space="preserve">heavy demand for cash </w:t>
      </w:r>
      <w:r>
        <w:rPr>
          <w:sz w:val="24"/>
          <w:szCs w:val="24"/>
        </w:rPr>
        <w:t>by</w:t>
      </w:r>
      <w:r>
        <w:rPr>
          <w:rFonts w:hint="eastAsia"/>
          <w:sz w:val="24"/>
          <w:szCs w:val="24"/>
        </w:rPr>
        <w:t xml:space="preserve"> households and firms before the Spring Festival, while meeting </w:t>
      </w:r>
      <w:r>
        <w:rPr>
          <w:sz w:val="24"/>
          <w:szCs w:val="24"/>
        </w:rPr>
        <w:t xml:space="preserve">the </w:t>
      </w:r>
      <w:r>
        <w:rPr>
          <w:rFonts w:hint="eastAsia"/>
          <w:sz w:val="24"/>
          <w:szCs w:val="24"/>
        </w:rPr>
        <w:t>various liquidity needs of financial institutions. After the Spring Festival, given the fact that the maturit</w:t>
      </w:r>
      <w:r>
        <w:rPr>
          <w:sz w:val="24"/>
          <w:szCs w:val="24"/>
        </w:rPr>
        <w:t>ies</w:t>
      </w:r>
      <w:r>
        <w:rPr>
          <w:rFonts w:hint="eastAsia"/>
          <w:sz w:val="24"/>
          <w:szCs w:val="24"/>
        </w:rPr>
        <w:t xml:space="preserve"> of the CRA and </w:t>
      </w:r>
      <w:r>
        <w:rPr>
          <w:sz w:val="24"/>
          <w:szCs w:val="24"/>
        </w:rPr>
        <w:t xml:space="preserve">the </w:t>
      </w:r>
      <w:r>
        <w:rPr>
          <w:rFonts w:hint="eastAsia"/>
          <w:sz w:val="24"/>
          <w:szCs w:val="24"/>
        </w:rPr>
        <w:t>repos w</w:t>
      </w:r>
      <w:r>
        <w:rPr>
          <w:sz w:val="24"/>
          <w:szCs w:val="24"/>
        </w:rPr>
        <w:t>ere</w:t>
      </w:r>
      <w:r>
        <w:rPr>
          <w:rFonts w:hint="eastAsia"/>
          <w:sz w:val="24"/>
          <w:szCs w:val="24"/>
        </w:rPr>
        <w:t xml:space="preserve"> largely in line with the pace of cash returning to the banking system, aggregate liquidity remained at a neu</w:t>
      </w:r>
      <w:r>
        <w:rPr>
          <w:sz w:val="24"/>
          <w:szCs w:val="24"/>
        </w:rPr>
        <w:t>t</w:t>
      </w:r>
      <w:r>
        <w:rPr>
          <w:rFonts w:hint="eastAsia"/>
          <w:sz w:val="24"/>
          <w:szCs w:val="24"/>
        </w:rPr>
        <w:t xml:space="preserve">ral and appropriate level. Meanwhile, in coping with short-term liquidity fluctuations due to factors </w:t>
      </w:r>
      <w:r>
        <w:rPr>
          <w:sz w:val="24"/>
          <w:szCs w:val="24"/>
        </w:rPr>
        <w:t>such as</w:t>
      </w:r>
      <w:r>
        <w:rPr>
          <w:rFonts w:hint="eastAsia"/>
          <w:sz w:val="24"/>
          <w:szCs w:val="24"/>
        </w:rPr>
        <w:t xml:space="preserve"> regulatory reviews and policy expectations, the PBC conducted MLF and repo operations whenever appropriate to raise the proportion of cross-seasonal funding, which helped</w:t>
      </w:r>
      <w:r>
        <w:rPr>
          <w:sz w:val="24"/>
          <w:szCs w:val="24"/>
        </w:rPr>
        <w:t xml:space="preserve"> to stabilize</w:t>
      </w:r>
      <w:r>
        <w:rPr>
          <w:rFonts w:hint="eastAsia"/>
          <w:sz w:val="24"/>
          <w:szCs w:val="24"/>
        </w:rPr>
        <w:t xml:space="preserve"> money-market interest rates </w:t>
      </w:r>
      <w:r>
        <w:rPr>
          <w:sz w:val="24"/>
          <w:szCs w:val="24"/>
        </w:rPr>
        <w:t xml:space="preserve">during the </w:t>
      </w:r>
      <w:r>
        <w:rPr>
          <w:rFonts w:hint="eastAsia"/>
          <w:sz w:val="24"/>
          <w:szCs w:val="24"/>
        </w:rPr>
        <w:t>quarter-end dates.</w:t>
      </w:r>
    </w:p>
    <w:p>
      <w:pPr>
        <w:pStyle w:val="125"/>
        <w:rPr>
          <w:sz w:val="24"/>
          <w:szCs w:val="24"/>
        </w:rPr>
      </w:pPr>
      <w:r>
        <w:rPr>
          <w:rFonts w:hint="eastAsia"/>
          <w:b/>
          <w:bCs/>
          <w:sz w:val="24"/>
          <w:szCs w:val="24"/>
        </w:rPr>
        <w:t xml:space="preserve"> </w:t>
      </w:r>
      <w:r>
        <w:rPr>
          <w:rFonts w:hint="eastAsia"/>
          <w:sz w:val="24"/>
          <w:szCs w:val="24"/>
        </w:rPr>
        <w:t xml:space="preserve">                                                                                                                                                                                                                                                                                                                                                                                                               </w:t>
      </w:r>
    </w:p>
    <w:p>
      <w:pPr>
        <w:pStyle w:val="125"/>
        <w:rPr>
          <w:rFonts w:eastAsia="Times New Roman"/>
          <w:sz w:val="24"/>
          <w:szCs w:val="24"/>
        </w:rPr>
      </w:pPr>
      <w:r>
        <w:rPr>
          <w:rFonts w:hint="eastAsia"/>
          <w:b/>
          <w:bCs/>
          <w:sz w:val="24"/>
          <w:szCs w:val="24"/>
        </w:rPr>
        <w:t xml:space="preserve">Price levers were used in a timely and appropriate manner. </w:t>
      </w:r>
      <w:r>
        <w:rPr>
          <w:rFonts w:hint="eastAsia"/>
          <w:sz w:val="24"/>
          <w:szCs w:val="24"/>
        </w:rPr>
        <w:t>On March 22, the bid rate for 7-day repos rose by 5 basis points in line with market condition</w:t>
      </w:r>
      <w:r>
        <w:rPr>
          <w:sz w:val="24"/>
          <w:szCs w:val="24"/>
        </w:rPr>
        <w:t>s</w:t>
      </w:r>
      <w:r>
        <w:rPr>
          <w:rFonts w:hint="eastAsia"/>
          <w:sz w:val="24"/>
          <w:szCs w:val="24"/>
        </w:rPr>
        <w:t xml:space="preserve">, and subsequently rates for repos with other maturities and MLFs also went up by a similar margin. The modest OMO rate increase, which was widely expected by the market, reflected changes in funding supply and demand and was a normal market response to </w:t>
      </w:r>
      <w:r>
        <w:rPr>
          <w:sz w:val="24"/>
          <w:szCs w:val="24"/>
        </w:rPr>
        <w:t xml:space="preserve">the </w:t>
      </w:r>
      <w:r>
        <w:rPr>
          <w:rFonts w:hint="eastAsia"/>
          <w:sz w:val="24"/>
          <w:szCs w:val="24"/>
        </w:rPr>
        <w:t>Fed</w:t>
      </w:r>
      <w:r>
        <w:rPr>
          <w:sz w:val="24"/>
          <w:szCs w:val="24"/>
        </w:rPr>
        <w:t>’</w:t>
      </w:r>
      <w:r>
        <w:rPr>
          <w:rFonts w:hint="eastAsia"/>
          <w:sz w:val="24"/>
          <w:szCs w:val="24"/>
        </w:rPr>
        <w:t>s further rate hike on March 21. Money</w:t>
      </w:r>
      <w:r>
        <w:rPr>
          <w:sz w:val="24"/>
          <w:szCs w:val="24"/>
        </w:rPr>
        <w:t>-</w:t>
      </w:r>
      <w:r>
        <w:rPr>
          <w:rFonts w:hint="eastAsia"/>
          <w:sz w:val="24"/>
          <w:szCs w:val="24"/>
        </w:rPr>
        <w:t xml:space="preserve">market rates have been higher than OMO rates since 2017, and </w:t>
      </w:r>
      <w:r>
        <w:rPr>
          <w:sz w:val="24"/>
          <w:szCs w:val="24"/>
        </w:rPr>
        <w:t>although</w:t>
      </w:r>
      <w:r>
        <w:rPr>
          <w:rFonts w:hint="eastAsia"/>
          <w:sz w:val="24"/>
          <w:szCs w:val="24"/>
        </w:rPr>
        <w:t xml:space="preserve"> the spread has narrowed since 2018</w:t>
      </w:r>
      <w:r>
        <w:rPr>
          <w:sz w:val="24"/>
          <w:szCs w:val="24"/>
        </w:rPr>
        <w:t>,</w:t>
      </w:r>
      <w:r>
        <w:rPr>
          <w:rFonts w:hint="eastAsia"/>
          <w:sz w:val="24"/>
          <w:szCs w:val="24"/>
        </w:rPr>
        <w:t xml:space="preserve"> </w:t>
      </w:r>
      <w:r>
        <w:rPr>
          <w:sz w:val="24"/>
          <w:szCs w:val="24"/>
        </w:rPr>
        <w:t>the interest- rate differential is still noteworthy</w:t>
      </w:r>
      <w:r>
        <w:rPr>
          <w:rFonts w:hint="eastAsia"/>
          <w:sz w:val="24"/>
          <w:szCs w:val="24"/>
        </w:rPr>
        <w:t xml:space="preserve">. Therefore, the increase in </w:t>
      </w:r>
      <w:r>
        <w:rPr>
          <w:sz w:val="24"/>
          <w:szCs w:val="24"/>
        </w:rPr>
        <w:t xml:space="preserve">the </w:t>
      </w:r>
      <w:r>
        <w:rPr>
          <w:rFonts w:hint="eastAsia"/>
          <w:sz w:val="24"/>
          <w:szCs w:val="24"/>
        </w:rPr>
        <w:t xml:space="preserve">OMO rates </w:t>
      </w:r>
      <w:r>
        <w:rPr>
          <w:sz w:val="24"/>
          <w:szCs w:val="24"/>
        </w:rPr>
        <w:t>might further</w:t>
      </w:r>
      <w:r>
        <w:rPr>
          <w:rFonts w:hint="eastAsia"/>
          <w:sz w:val="24"/>
          <w:szCs w:val="24"/>
        </w:rPr>
        <w:t xml:space="preserve"> help </w:t>
      </w:r>
      <w:r>
        <w:rPr>
          <w:sz w:val="24"/>
          <w:szCs w:val="24"/>
        </w:rPr>
        <w:t xml:space="preserve">to </w:t>
      </w:r>
      <w:r>
        <w:rPr>
          <w:rFonts w:hint="eastAsia"/>
          <w:sz w:val="24"/>
          <w:szCs w:val="24"/>
        </w:rPr>
        <w:t xml:space="preserve">narrow the spread and enhance the transmission of </w:t>
      </w:r>
      <w:r>
        <w:rPr>
          <w:sz w:val="24"/>
          <w:szCs w:val="24"/>
        </w:rPr>
        <w:t xml:space="preserve">the </w:t>
      </w:r>
      <w:r>
        <w:rPr>
          <w:rFonts w:hint="eastAsia"/>
          <w:sz w:val="24"/>
          <w:szCs w:val="24"/>
        </w:rPr>
        <w:t>OMO rates to the money</w:t>
      </w:r>
      <w:r>
        <w:rPr>
          <w:sz w:val="24"/>
          <w:szCs w:val="24"/>
        </w:rPr>
        <w:t>-</w:t>
      </w:r>
      <w:r>
        <w:rPr>
          <w:rFonts w:hint="eastAsia"/>
          <w:sz w:val="24"/>
          <w:szCs w:val="24"/>
        </w:rPr>
        <w:t xml:space="preserve">market rates. It </w:t>
      </w:r>
      <w:r>
        <w:rPr>
          <w:sz w:val="24"/>
          <w:szCs w:val="24"/>
        </w:rPr>
        <w:t>may</w:t>
      </w:r>
      <w:r>
        <w:rPr>
          <w:rFonts w:hint="eastAsia"/>
          <w:sz w:val="24"/>
          <w:szCs w:val="24"/>
        </w:rPr>
        <w:t xml:space="preserve"> also guide market entities to form rational interest</w:t>
      </w:r>
      <w:r>
        <w:rPr>
          <w:sz w:val="24"/>
          <w:szCs w:val="24"/>
        </w:rPr>
        <w:t>-r</w:t>
      </w:r>
      <w:r>
        <w:rPr>
          <w:rFonts w:hint="eastAsia"/>
          <w:sz w:val="24"/>
          <w:szCs w:val="24"/>
        </w:rPr>
        <w:t>ate expectations, curb irrational financing activities</w:t>
      </w:r>
      <w:r>
        <w:rPr>
          <w:sz w:val="24"/>
          <w:szCs w:val="24"/>
        </w:rPr>
        <w:t>,</w:t>
      </w:r>
      <w:r>
        <w:rPr>
          <w:rFonts w:hint="eastAsia"/>
          <w:sz w:val="24"/>
          <w:szCs w:val="24"/>
        </w:rPr>
        <w:t xml:space="preserve"> and play a role in stabilizing </w:t>
      </w:r>
      <w:r>
        <w:rPr>
          <w:sz w:val="24"/>
          <w:szCs w:val="24"/>
        </w:rPr>
        <w:t xml:space="preserve">the </w:t>
      </w:r>
      <w:r>
        <w:rPr>
          <w:rFonts w:hint="eastAsia"/>
          <w:sz w:val="24"/>
          <w:szCs w:val="24"/>
        </w:rPr>
        <w:t xml:space="preserve">macro-economic leverage ratio. </w:t>
      </w:r>
      <w:bookmarkStart w:id="65" w:name="_Toc489534251"/>
    </w:p>
    <w:p>
      <w:pPr>
        <w:rPr>
          <w:rFonts w:eastAsia="Times New Roman"/>
          <w:kern w:val="0"/>
          <w:sz w:val="24"/>
        </w:rPr>
      </w:pPr>
    </w:p>
    <w:p>
      <w:pPr>
        <w:pStyle w:val="26"/>
        <w:pBdr>
          <w:top w:val="none" w:color="auto" w:sz="0" w:space="0"/>
          <w:left w:val="none" w:color="auto" w:sz="0" w:space="0"/>
          <w:bottom w:val="none" w:color="auto" w:sz="0" w:space="0"/>
          <w:right w:val="none" w:color="auto" w:sz="0" w:space="0"/>
        </w:pBdr>
        <w:shd w:val="clear" w:color="auto" w:fill="CCFFCC"/>
        <w:spacing w:before="156" w:after="156"/>
        <w:rPr>
          <w:rFonts w:hint="default" w:eastAsia="宋体"/>
          <w:color w:val="000000"/>
          <w:sz w:val="24"/>
        </w:rPr>
      </w:pPr>
      <w:bookmarkStart w:id="66" w:name="_Toc517191134"/>
      <w:r>
        <w:rPr>
          <w:rFonts w:hint="default" w:ascii="Times New Roman"/>
          <w:b/>
          <w:bCs w:val="0"/>
          <w:sz w:val="24"/>
        </w:rPr>
        <w:t xml:space="preserve">Box </w:t>
      </w:r>
      <w:r>
        <w:rPr>
          <w:rFonts w:hint="default" w:ascii="Times New Roman"/>
          <w:b/>
          <w:bCs w:val="0"/>
          <w:sz w:val="24"/>
        </w:rPr>
        <w:fldChar w:fldCharType="begin"/>
      </w:r>
      <w:r>
        <w:rPr>
          <w:rFonts w:hint="default" w:ascii="Times New Roman"/>
          <w:b/>
          <w:bCs w:val="0"/>
          <w:sz w:val="24"/>
        </w:rPr>
        <w:instrText xml:space="preserve"> SEQ Box \* ARABIC </w:instrText>
      </w:r>
      <w:r>
        <w:rPr>
          <w:rFonts w:hint="default" w:ascii="Times New Roman"/>
          <w:b/>
          <w:bCs w:val="0"/>
          <w:sz w:val="24"/>
        </w:rPr>
        <w:fldChar w:fldCharType="separate"/>
      </w:r>
      <w:r>
        <w:rPr>
          <w:rFonts w:hint="default" w:ascii="Times New Roman"/>
          <w:b/>
          <w:bCs w:val="0"/>
          <w:sz w:val="24"/>
        </w:rPr>
        <w:t>2</w:t>
      </w:r>
      <w:r>
        <w:rPr>
          <w:rFonts w:hint="default" w:ascii="Times New Roman"/>
          <w:b/>
          <w:bCs w:val="0"/>
          <w:sz w:val="24"/>
        </w:rPr>
        <w:fldChar w:fldCharType="end"/>
      </w:r>
      <w:r>
        <w:rPr>
          <w:rFonts w:ascii="Times New Roman"/>
          <w:b/>
          <w:bCs w:val="0"/>
          <w:sz w:val="24"/>
        </w:rPr>
        <w:t xml:space="preserve">  Eligible Counterparties of </w:t>
      </w:r>
      <w:r>
        <w:rPr>
          <w:rFonts w:ascii="Times New Roman"/>
          <w:b/>
          <w:sz w:val="24"/>
        </w:rPr>
        <w:t>C</w:t>
      </w:r>
      <w:r>
        <w:rPr>
          <w:rFonts w:ascii="Times New Roman"/>
          <w:b/>
          <w:bCs w:val="0"/>
          <w:sz w:val="24"/>
        </w:rPr>
        <w:t>entral Banks</w:t>
      </w:r>
      <w:bookmarkEnd w:id="66"/>
      <w:bookmarkStart w:id="67" w:name="_Toc16765"/>
    </w:p>
    <w:p>
      <w:pPr>
        <w:shd w:val="clear" w:color="auto" w:fill="CCFFCC"/>
        <w:spacing w:line="360" w:lineRule="auto"/>
        <w:rPr>
          <w:rFonts w:eastAsia="Times New Roman"/>
          <w:color w:val="000000"/>
          <w:sz w:val="24"/>
        </w:rPr>
      </w:pPr>
      <w:r>
        <w:rPr>
          <w:rFonts w:hint="eastAsia" w:eastAsia="Times New Roman"/>
          <w:color w:val="000000"/>
          <w:sz w:val="24"/>
        </w:rPr>
        <w:t xml:space="preserve">Eligible counterparties of a central bank are market institutions that are selected and appointed by </w:t>
      </w:r>
      <w:r>
        <w:rPr>
          <w:rFonts w:eastAsia="Times New Roman"/>
          <w:color w:val="000000"/>
          <w:sz w:val="24"/>
        </w:rPr>
        <w:t>a</w:t>
      </w:r>
      <w:r>
        <w:rPr>
          <w:rFonts w:hint="eastAsia" w:eastAsia="Times New Roman"/>
          <w:color w:val="000000"/>
          <w:sz w:val="24"/>
        </w:rPr>
        <w:t xml:space="preserve"> central bank according to certain criteria and </w:t>
      </w:r>
      <w:r>
        <w:rPr>
          <w:rFonts w:eastAsia="Times New Roman"/>
          <w:color w:val="000000"/>
          <w:sz w:val="24"/>
        </w:rPr>
        <w:t xml:space="preserve">that </w:t>
      </w:r>
      <w:r>
        <w:rPr>
          <w:rFonts w:hint="eastAsia" w:eastAsia="Times New Roman"/>
          <w:color w:val="000000"/>
          <w:sz w:val="24"/>
        </w:rPr>
        <w:t xml:space="preserve">can directly trade with </w:t>
      </w:r>
      <w:r>
        <w:rPr>
          <w:rFonts w:eastAsia="Times New Roman"/>
          <w:color w:val="000000"/>
          <w:sz w:val="24"/>
        </w:rPr>
        <w:t>a</w:t>
      </w:r>
      <w:r>
        <w:rPr>
          <w:rFonts w:hint="eastAsia" w:eastAsia="Times New Roman"/>
          <w:color w:val="000000"/>
          <w:sz w:val="24"/>
        </w:rPr>
        <w:t xml:space="preserve"> central bank in its monetary</w:t>
      </w:r>
      <w:r>
        <w:rPr>
          <w:rFonts w:eastAsia="Times New Roman"/>
          <w:color w:val="000000"/>
          <w:sz w:val="24"/>
        </w:rPr>
        <w:t>-</w:t>
      </w:r>
      <w:r>
        <w:rPr>
          <w:rFonts w:hint="eastAsia" w:eastAsia="Times New Roman"/>
          <w:color w:val="000000"/>
          <w:sz w:val="24"/>
        </w:rPr>
        <w:t>policy operations.</w:t>
      </w:r>
    </w:p>
    <w:p>
      <w:pPr>
        <w:shd w:val="clear" w:color="auto" w:fill="CCFFCC"/>
        <w:spacing w:line="360" w:lineRule="auto"/>
        <w:rPr>
          <w:rFonts w:eastAsia="Times New Roman"/>
          <w:color w:val="000000"/>
          <w:sz w:val="24"/>
        </w:rPr>
      </w:pPr>
    </w:p>
    <w:p>
      <w:pPr>
        <w:shd w:val="clear" w:color="auto" w:fill="CCFFCC"/>
        <w:spacing w:line="360" w:lineRule="auto"/>
        <w:rPr>
          <w:color w:val="000000"/>
          <w:sz w:val="24"/>
        </w:rPr>
      </w:pPr>
      <w:r>
        <w:rPr>
          <w:rFonts w:hint="eastAsia" w:eastAsia="Times New Roman"/>
          <w:color w:val="000000"/>
          <w:sz w:val="24"/>
        </w:rPr>
        <w:t xml:space="preserve">In light of international experience, the selection criteria for eligible </w:t>
      </w:r>
      <w:r>
        <w:rPr>
          <w:rFonts w:eastAsia="Times New Roman"/>
          <w:color w:val="000000"/>
          <w:sz w:val="24"/>
        </w:rPr>
        <w:t>counterparties</w:t>
      </w:r>
      <w:r>
        <w:rPr>
          <w:rFonts w:hint="eastAsia" w:eastAsia="Times New Roman"/>
          <w:color w:val="000000"/>
          <w:sz w:val="24"/>
        </w:rPr>
        <w:t xml:space="preserve"> vary substantially from co</w:t>
      </w:r>
      <w:r>
        <w:rPr>
          <w:rFonts w:hint="eastAsia"/>
          <w:color w:val="000000"/>
          <w:sz w:val="24"/>
        </w:rPr>
        <w:t>untry to country. In the U</w:t>
      </w:r>
      <w:r>
        <w:rPr>
          <w:color w:val="000000"/>
          <w:sz w:val="24"/>
        </w:rPr>
        <w:t>.</w:t>
      </w:r>
      <w:r>
        <w:rPr>
          <w:rFonts w:hint="eastAsia"/>
          <w:color w:val="000000"/>
          <w:sz w:val="24"/>
        </w:rPr>
        <w:t>S</w:t>
      </w:r>
      <w:r>
        <w:rPr>
          <w:color w:val="000000"/>
          <w:sz w:val="24"/>
        </w:rPr>
        <w:t>.</w:t>
      </w:r>
      <w:r>
        <w:rPr>
          <w:rFonts w:hint="eastAsia"/>
          <w:color w:val="000000"/>
          <w:sz w:val="24"/>
        </w:rPr>
        <w:t xml:space="preserve">, primary dealers in OMOs serve as </w:t>
      </w:r>
      <w:r>
        <w:rPr>
          <w:color w:val="000000"/>
          <w:sz w:val="24"/>
        </w:rPr>
        <w:t xml:space="preserve">major </w:t>
      </w:r>
      <w:r>
        <w:rPr>
          <w:rFonts w:hint="eastAsia"/>
          <w:color w:val="000000"/>
          <w:sz w:val="24"/>
        </w:rPr>
        <w:t xml:space="preserve">counterparties of the Fed. The selection criteria are relatively stringent, </w:t>
      </w:r>
      <w:r>
        <w:rPr>
          <w:color w:val="000000"/>
          <w:sz w:val="24"/>
        </w:rPr>
        <w:t>including</w:t>
      </w:r>
      <w:r>
        <w:rPr>
          <w:rFonts w:hint="eastAsia"/>
          <w:color w:val="000000"/>
          <w:sz w:val="24"/>
        </w:rPr>
        <w:t xml:space="preserve"> requirements on the institutions</w:t>
      </w:r>
      <w:r>
        <w:rPr>
          <w:color w:val="000000"/>
          <w:sz w:val="24"/>
        </w:rPr>
        <w:t>’</w:t>
      </w:r>
      <w:r>
        <w:rPr>
          <w:rFonts w:hint="eastAsia"/>
          <w:color w:val="000000"/>
          <w:sz w:val="24"/>
        </w:rPr>
        <w:t xml:space="preserve"> activity levels, market performance, financial condition, regulatory compliance, operational capacity, internal controls, and ability to provide market information and </w:t>
      </w:r>
      <w:r>
        <w:rPr>
          <w:color w:val="000000"/>
          <w:sz w:val="24"/>
        </w:rPr>
        <w:t xml:space="preserve">to </w:t>
      </w:r>
      <w:r>
        <w:rPr>
          <w:rFonts w:hint="eastAsia"/>
          <w:color w:val="000000"/>
          <w:sz w:val="24"/>
        </w:rPr>
        <w:t>conduct policy evaluation</w:t>
      </w:r>
      <w:r>
        <w:rPr>
          <w:color w:val="000000"/>
          <w:sz w:val="24"/>
        </w:rPr>
        <w:t>s.</w:t>
      </w:r>
      <w:r>
        <w:rPr>
          <w:rFonts w:hint="eastAsia"/>
          <w:color w:val="000000"/>
          <w:sz w:val="24"/>
        </w:rPr>
        <w:t xml:space="preserve"> As a result, there are currently only 23 primary dealers, which </w:t>
      </w:r>
      <w:r>
        <w:rPr>
          <w:color w:val="000000"/>
          <w:sz w:val="24"/>
        </w:rPr>
        <w:t>are</w:t>
      </w:r>
      <w:r>
        <w:rPr>
          <w:rFonts w:hint="eastAsia"/>
          <w:color w:val="000000"/>
          <w:sz w:val="24"/>
        </w:rPr>
        <w:t xml:space="preserve"> either a commercial bank or a securities institution. </w:t>
      </w:r>
      <w:r>
        <w:rPr>
          <w:color w:val="000000"/>
          <w:sz w:val="24"/>
        </w:rPr>
        <w:t>In contrast, t</w:t>
      </w:r>
      <w:r>
        <w:rPr>
          <w:rFonts w:hint="eastAsia"/>
          <w:color w:val="000000"/>
          <w:sz w:val="24"/>
        </w:rPr>
        <w:t>he counterparties of the Eurosystem</w:t>
      </w:r>
      <w:r>
        <w:rPr>
          <w:color w:val="000000"/>
          <w:sz w:val="24"/>
        </w:rPr>
        <w:t xml:space="preserve"> (including the ECB and the national central banks) </w:t>
      </w:r>
      <w:r>
        <w:rPr>
          <w:rFonts w:hint="eastAsia"/>
          <w:color w:val="000000"/>
          <w:sz w:val="24"/>
        </w:rPr>
        <w:t>encompass a broad range of institutions</w:t>
      </w:r>
      <w:r>
        <w:rPr>
          <w:color w:val="000000"/>
          <w:sz w:val="24"/>
        </w:rPr>
        <w:t xml:space="preserve"> because</w:t>
      </w:r>
      <w:r>
        <w:rPr>
          <w:rFonts w:hint="eastAsia"/>
          <w:color w:val="000000"/>
          <w:sz w:val="24"/>
        </w:rPr>
        <w:t xml:space="preserve"> all institutions in the euro area meeting the minimum reserve requirements are eligible </w:t>
      </w:r>
      <w:r>
        <w:rPr>
          <w:color w:val="000000"/>
          <w:sz w:val="24"/>
        </w:rPr>
        <w:t xml:space="preserve">to participate </w:t>
      </w:r>
      <w:r>
        <w:rPr>
          <w:rFonts w:hint="eastAsia"/>
          <w:color w:val="000000"/>
          <w:sz w:val="24"/>
        </w:rPr>
        <w:t>in Eurosystem OMOs based on standard tenders. Nonetheless, in conducting fine-tuning operations and transactions</w:t>
      </w:r>
      <w:r>
        <w:rPr>
          <w:color w:val="000000"/>
          <w:sz w:val="24"/>
        </w:rPr>
        <w:t xml:space="preserve">, </w:t>
      </w:r>
      <w:r>
        <w:rPr>
          <w:rFonts w:hint="eastAsia"/>
          <w:color w:val="000000"/>
          <w:sz w:val="24"/>
        </w:rPr>
        <w:t>such as foreign</w:t>
      </w:r>
      <w:r>
        <w:rPr>
          <w:color w:val="000000"/>
          <w:sz w:val="24"/>
        </w:rPr>
        <w:t>-</w:t>
      </w:r>
      <w:r>
        <w:rPr>
          <w:rFonts w:hint="eastAsia"/>
          <w:color w:val="000000"/>
          <w:sz w:val="24"/>
        </w:rPr>
        <w:t xml:space="preserve">exchange swaps, the ECB or each national central bank </w:t>
      </w:r>
      <w:r>
        <w:rPr>
          <w:color w:val="000000"/>
          <w:sz w:val="24"/>
        </w:rPr>
        <w:t xml:space="preserve">will </w:t>
      </w:r>
      <w:r>
        <w:rPr>
          <w:rFonts w:hint="eastAsia"/>
          <w:color w:val="000000"/>
          <w:sz w:val="24"/>
        </w:rPr>
        <w:t xml:space="preserve">narrow </w:t>
      </w:r>
      <w:r>
        <w:rPr>
          <w:color w:val="000000"/>
          <w:sz w:val="24"/>
        </w:rPr>
        <w:t xml:space="preserve">down </w:t>
      </w:r>
      <w:r>
        <w:rPr>
          <w:rFonts w:hint="eastAsia"/>
          <w:color w:val="000000"/>
          <w:sz w:val="24"/>
        </w:rPr>
        <w:t xml:space="preserve">the range of counterparties by making additional requirements as necessary. In general, the selection criteria for eligible counterparties applied by central banks are tailored to country circumstances, </w:t>
      </w:r>
      <w:r>
        <w:rPr>
          <w:color w:val="000000"/>
          <w:sz w:val="24"/>
        </w:rPr>
        <w:t xml:space="preserve">are </w:t>
      </w:r>
      <w:r>
        <w:rPr>
          <w:rFonts w:hint="eastAsia"/>
          <w:color w:val="000000"/>
          <w:sz w:val="24"/>
        </w:rPr>
        <w:t xml:space="preserve">intended to support the formulation and implementation of monetary policy, and </w:t>
      </w:r>
      <w:r>
        <w:rPr>
          <w:color w:val="000000"/>
          <w:sz w:val="24"/>
        </w:rPr>
        <w:t xml:space="preserve">are flexibly </w:t>
      </w:r>
      <w:r>
        <w:rPr>
          <w:rFonts w:hint="eastAsia"/>
          <w:color w:val="000000"/>
          <w:sz w:val="24"/>
        </w:rPr>
        <w:t xml:space="preserve">adjusted based on the goals of macro regulation </w:t>
      </w:r>
      <w:r>
        <w:rPr>
          <w:color w:val="000000"/>
          <w:sz w:val="24"/>
        </w:rPr>
        <w:t>at</w:t>
      </w:r>
      <w:r>
        <w:rPr>
          <w:rFonts w:hint="eastAsia"/>
          <w:color w:val="000000"/>
          <w:sz w:val="24"/>
        </w:rPr>
        <w:t xml:space="preserve"> different development stages.</w:t>
      </w:r>
    </w:p>
    <w:p>
      <w:pPr>
        <w:shd w:val="clear" w:color="auto" w:fill="CCFFCC"/>
        <w:spacing w:line="360" w:lineRule="auto"/>
        <w:rPr>
          <w:color w:val="000000"/>
          <w:sz w:val="24"/>
        </w:rPr>
      </w:pPr>
    </w:p>
    <w:p>
      <w:pPr>
        <w:shd w:val="clear" w:color="auto" w:fill="CCFFCC"/>
        <w:spacing w:line="360" w:lineRule="auto"/>
        <w:rPr>
          <w:color w:val="000000"/>
          <w:sz w:val="24"/>
        </w:rPr>
      </w:pPr>
      <w:r>
        <w:rPr>
          <w:rFonts w:hint="eastAsia"/>
          <w:color w:val="000000"/>
          <w:sz w:val="24"/>
        </w:rPr>
        <w:t>The PBC established the primary</w:t>
      </w:r>
      <w:r>
        <w:rPr>
          <w:color w:val="000000"/>
          <w:sz w:val="24"/>
        </w:rPr>
        <w:t>-</w:t>
      </w:r>
      <w:r>
        <w:rPr>
          <w:rFonts w:hint="eastAsia"/>
          <w:color w:val="000000"/>
          <w:sz w:val="24"/>
        </w:rPr>
        <w:t xml:space="preserve">dealer system in OMOs in 1998, when only a </w:t>
      </w:r>
      <w:r>
        <w:rPr>
          <w:color w:val="000000"/>
          <w:sz w:val="24"/>
        </w:rPr>
        <w:t xml:space="preserve">few </w:t>
      </w:r>
      <w:r>
        <w:rPr>
          <w:rFonts w:hint="eastAsia"/>
          <w:color w:val="000000"/>
          <w:sz w:val="24"/>
        </w:rPr>
        <w:t xml:space="preserve">selective financial institutions in good standing, referred to as </w:t>
      </w:r>
      <w:r>
        <w:rPr>
          <w:color w:val="000000"/>
          <w:sz w:val="24"/>
        </w:rPr>
        <w:t>“</w:t>
      </w:r>
      <w:r>
        <w:rPr>
          <w:rFonts w:hint="eastAsia"/>
          <w:color w:val="000000"/>
          <w:sz w:val="24"/>
        </w:rPr>
        <w:t>primary dealers in open market operations</w:t>
      </w:r>
      <w:r>
        <w:rPr>
          <w:color w:val="000000"/>
          <w:sz w:val="24"/>
        </w:rPr>
        <w:t>,”</w:t>
      </w:r>
      <w:r>
        <w:rPr>
          <w:rFonts w:hint="eastAsia"/>
          <w:color w:val="000000"/>
          <w:sz w:val="24"/>
        </w:rPr>
        <w:t xml:space="preserve"> became eligible counterparties of the PBC to participate in OMOs and </w:t>
      </w:r>
      <w:r>
        <w:rPr>
          <w:color w:val="000000"/>
          <w:sz w:val="24"/>
        </w:rPr>
        <w:t xml:space="preserve">to </w:t>
      </w:r>
      <w:r>
        <w:rPr>
          <w:rFonts w:hint="eastAsia"/>
          <w:color w:val="000000"/>
          <w:sz w:val="24"/>
        </w:rPr>
        <w:t xml:space="preserve">support the transmission of monetary policy. In 2004, the PBC established an appraisal system for primary dealers, </w:t>
      </w:r>
      <w:r>
        <w:rPr>
          <w:color w:val="000000"/>
          <w:sz w:val="24"/>
        </w:rPr>
        <w:t>by</w:t>
      </w:r>
      <w:r>
        <w:rPr>
          <w:rFonts w:hint="eastAsia"/>
          <w:color w:val="000000"/>
          <w:sz w:val="24"/>
        </w:rPr>
        <w:t xml:space="preserve"> which it launched an index system to </w:t>
      </w:r>
      <w:r>
        <w:rPr>
          <w:color w:val="000000"/>
          <w:sz w:val="24"/>
        </w:rPr>
        <w:t xml:space="preserve">annually </w:t>
      </w:r>
      <w:r>
        <w:rPr>
          <w:rFonts w:hint="eastAsia"/>
          <w:color w:val="000000"/>
          <w:sz w:val="24"/>
        </w:rPr>
        <w:t xml:space="preserve">evaluate primary dealers based on </w:t>
      </w:r>
      <w:r>
        <w:rPr>
          <w:color w:val="000000"/>
          <w:sz w:val="24"/>
        </w:rPr>
        <w:t>“</w:t>
      </w:r>
      <w:r>
        <w:rPr>
          <w:rFonts w:hint="eastAsia"/>
          <w:color w:val="000000"/>
          <w:sz w:val="24"/>
        </w:rPr>
        <w:t>survival of the fittest</w:t>
      </w:r>
      <w:r>
        <w:rPr>
          <w:color w:val="000000"/>
          <w:sz w:val="24"/>
        </w:rPr>
        <w:t>”</w:t>
      </w:r>
      <w:r>
        <w:rPr>
          <w:rFonts w:hint="eastAsia"/>
          <w:color w:val="000000"/>
          <w:sz w:val="24"/>
        </w:rPr>
        <w:t xml:space="preserve"> characteristics</w:t>
      </w:r>
      <w:r>
        <w:rPr>
          <w:color w:val="000000"/>
          <w:sz w:val="24"/>
        </w:rPr>
        <w:t>, requiring</w:t>
      </w:r>
      <w:r>
        <w:rPr>
          <w:rFonts w:hint="eastAsia"/>
          <w:color w:val="000000"/>
          <w:sz w:val="24"/>
        </w:rPr>
        <w:t xml:space="preserve"> them to demonstrate the</w:t>
      </w:r>
      <w:r>
        <w:rPr>
          <w:color w:val="000000"/>
          <w:sz w:val="24"/>
        </w:rPr>
        <w:t>ir</w:t>
      </w:r>
      <w:r>
        <w:rPr>
          <w:rFonts w:hint="eastAsia"/>
          <w:color w:val="000000"/>
          <w:sz w:val="24"/>
        </w:rPr>
        <w:t xml:space="preserve"> ability and intention to carry out their duties. Since then, the number of primary dealers has stabilized</w:t>
      </w:r>
      <w:r>
        <w:rPr>
          <w:color w:val="000000"/>
          <w:sz w:val="24"/>
        </w:rPr>
        <w:t xml:space="preserve"> at</w:t>
      </w:r>
      <w:r>
        <w:rPr>
          <w:rFonts w:hint="eastAsia"/>
          <w:color w:val="000000"/>
          <w:sz w:val="24"/>
        </w:rPr>
        <w:t xml:space="preserve"> around 50. </w:t>
      </w:r>
      <w:r>
        <w:rPr>
          <w:color w:val="000000"/>
          <w:sz w:val="24"/>
        </w:rPr>
        <w:t>C</w:t>
      </w:r>
      <w:r>
        <w:rPr>
          <w:rFonts w:hint="eastAsia"/>
          <w:color w:val="000000"/>
          <w:sz w:val="24"/>
        </w:rPr>
        <w:t xml:space="preserve">urrently, </w:t>
      </w:r>
      <w:r>
        <w:rPr>
          <w:color w:val="000000"/>
          <w:sz w:val="24"/>
        </w:rPr>
        <w:t xml:space="preserve">the number </w:t>
      </w:r>
      <w:r>
        <w:rPr>
          <w:rFonts w:hint="eastAsia"/>
          <w:color w:val="000000"/>
          <w:sz w:val="24"/>
        </w:rPr>
        <w:t xml:space="preserve">stands at 48, </w:t>
      </w:r>
      <w:r>
        <w:rPr>
          <w:color w:val="000000"/>
          <w:sz w:val="24"/>
        </w:rPr>
        <w:t>but</w:t>
      </w:r>
      <w:r>
        <w:rPr>
          <w:rFonts w:hint="eastAsia"/>
          <w:color w:val="000000"/>
          <w:sz w:val="24"/>
        </w:rPr>
        <w:t xml:space="preserve"> the list includes development financial institutions, policy banks, large state-owned commercial banks, joint-stock commercial banks, city commercial banks, rural commercial banks, foreign-funded commercial banks, and securities firms. Although small in number, primary dealers have </w:t>
      </w:r>
      <w:r>
        <w:rPr>
          <w:color w:val="000000"/>
          <w:sz w:val="24"/>
        </w:rPr>
        <w:t xml:space="preserve">a generally </w:t>
      </w:r>
      <w:r>
        <w:rPr>
          <w:rFonts w:hint="eastAsia"/>
          <w:color w:val="000000"/>
          <w:sz w:val="24"/>
        </w:rPr>
        <w:t xml:space="preserve">good reputation and standing among their own type of institution, while </w:t>
      </w:r>
      <w:r>
        <w:rPr>
          <w:color w:val="000000"/>
          <w:sz w:val="24"/>
        </w:rPr>
        <w:t>they play</w:t>
      </w:r>
      <w:r>
        <w:rPr>
          <w:rFonts w:hint="eastAsia"/>
          <w:color w:val="000000"/>
          <w:sz w:val="24"/>
        </w:rPr>
        <w:t xml:space="preserve"> a significant role in the transmission of monetary policy as they are the most active market participants in trading and financing activities. </w:t>
      </w:r>
    </w:p>
    <w:p>
      <w:pPr>
        <w:shd w:val="clear" w:color="auto" w:fill="CCFFCC"/>
        <w:spacing w:line="360" w:lineRule="auto"/>
        <w:rPr>
          <w:color w:val="000000"/>
          <w:sz w:val="24"/>
        </w:rPr>
      </w:pPr>
    </w:p>
    <w:p>
      <w:pPr>
        <w:shd w:val="clear" w:color="auto" w:fill="CCFFCC"/>
        <w:spacing w:line="360" w:lineRule="auto"/>
        <w:rPr>
          <w:color w:val="000000"/>
          <w:sz w:val="24"/>
        </w:rPr>
      </w:pPr>
      <w:r>
        <w:rPr>
          <w:rFonts w:hint="eastAsia"/>
          <w:color w:val="000000"/>
          <w:sz w:val="24"/>
        </w:rPr>
        <w:t>As eligible counterparties of the PBC, primary dealers in OMOs may participate in a wide range of central</w:t>
      </w:r>
      <w:r>
        <w:rPr>
          <w:color w:val="000000"/>
          <w:sz w:val="24"/>
        </w:rPr>
        <w:t>-</w:t>
      </w:r>
      <w:r>
        <w:rPr>
          <w:rFonts w:hint="eastAsia"/>
          <w:color w:val="000000"/>
          <w:sz w:val="24"/>
        </w:rPr>
        <w:t>bank daily operations, such as (reverse) repos, subscription</w:t>
      </w:r>
      <w:r>
        <w:rPr>
          <w:color w:val="000000"/>
          <w:sz w:val="24"/>
        </w:rPr>
        <w:t>s</w:t>
      </w:r>
      <w:r>
        <w:rPr>
          <w:rFonts w:hint="eastAsia"/>
          <w:color w:val="000000"/>
          <w:sz w:val="24"/>
        </w:rPr>
        <w:t xml:space="preserve"> for the issuance of central</w:t>
      </w:r>
      <w:r>
        <w:rPr>
          <w:color w:val="000000"/>
          <w:sz w:val="24"/>
        </w:rPr>
        <w:t>-</w:t>
      </w:r>
      <w:r>
        <w:rPr>
          <w:rFonts w:hint="eastAsia"/>
          <w:color w:val="000000"/>
          <w:sz w:val="24"/>
        </w:rPr>
        <w:t xml:space="preserve">bank bills, and spot bond trading. Meanwhile, as the PBC </w:t>
      </w:r>
      <w:r>
        <w:rPr>
          <w:color w:val="000000"/>
          <w:sz w:val="24"/>
        </w:rPr>
        <w:t>has in recent years introduced</w:t>
      </w:r>
      <w:r>
        <w:rPr>
          <w:rFonts w:hint="eastAsia"/>
          <w:color w:val="000000"/>
          <w:sz w:val="24"/>
        </w:rPr>
        <w:t xml:space="preserve"> new operational tools</w:t>
      </w:r>
      <w:r>
        <w:rPr>
          <w:color w:val="000000"/>
          <w:sz w:val="24"/>
        </w:rPr>
        <w:t xml:space="preserve">, </w:t>
      </w:r>
      <w:r>
        <w:rPr>
          <w:rFonts w:hint="eastAsia"/>
          <w:color w:val="000000"/>
          <w:sz w:val="24"/>
        </w:rPr>
        <w:t xml:space="preserve">it has also strengthened unified management for eligible counterparties by selecting a subset of </w:t>
      </w:r>
      <w:r>
        <w:rPr>
          <w:color w:val="000000"/>
          <w:sz w:val="24"/>
        </w:rPr>
        <w:t xml:space="preserve">the </w:t>
      </w:r>
      <w:r>
        <w:rPr>
          <w:rFonts w:hint="eastAsia"/>
          <w:color w:val="000000"/>
          <w:sz w:val="24"/>
        </w:rPr>
        <w:t>above</w:t>
      </w:r>
      <w:r>
        <w:rPr>
          <w:color w:val="000000"/>
          <w:sz w:val="24"/>
        </w:rPr>
        <w:t>-</w:t>
      </w:r>
      <w:r>
        <w:rPr>
          <w:rFonts w:hint="eastAsia"/>
          <w:color w:val="000000"/>
          <w:sz w:val="24"/>
        </w:rPr>
        <w:t>mentioned primary dealers in OMOs, subject to certain criteria based on the instrument</w:t>
      </w:r>
      <w:r>
        <w:rPr>
          <w:color w:val="000000"/>
          <w:sz w:val="24"/>
        </w:rPr>
        <w:t>’</w:t>
      </w:r>
      <w:r>
        <w:rPr>
          <w:rFonts w:hint="eastAsia"/>
          <w:color w:val="000000"/>
          <w:sz w:val="24"/>
        </w:rPr>
        <w:t xml:space="preserve">s features and functions, to participate in related operations. For instance, when </w:t>
      </w:r>
      <w:r>
        <w:rPr>
          <w:color w:val="000000"/>
          <w:sz w:val="24"/>
        </w:rPr>
        <w:t>introducing</w:t>
      </w:r>
      <w:r>
        <w:rPr>
          <w:rFonts w:hint="eastAsia"/>
          <w:color w:val="000000"/>
          <w:sz w:val="24"/>
        </w:rPr>
        <w:t xml:space="preserve"> </w:t>
      </w:r>
      <w:r>
        <w:rPr>
          <w:color w:val="000000"/>
          <w:sz w:val="24"/>
        </w:rPr>
        <w:t xml:space="preserve">the </w:t>
      </w:r>
      <w:r>
        <w:rPr>
          <w:rFonts w:hint="eastAsia"/>
          <w:color w:val="000000"/>
          <w:sz w:val="24"/>
        </w:rPr>
        <w:t xml:space="preserve">MLF </w:t>
      </w:r>
      <w:r>
        <w:rPr>
          <w:color w:val="000000"/>
          <w:sz w:val="24"/>
        </w:rPr>
        <w:t>to inject</w:t>
      </w:r>
      <w:r>
        <w:rPr>
          <w:rFonts w:hint="eastAsia"/>
          <w:color w:val="000000"/>
          <w:sz w:val="24"/>
        </w:rPr>
        <w:t xml:space="preserve"> medium and long-term </w:t>
      </w:r>
      <w:r>
        <w:rPr>
          <w:rFonts w:hint="eastAsia"/>
          <w:sz w:val="24"/>
        </w:rPr>
        <w:t>(from 3 months to 1 year)</w:t>
      </w:r>
      <w:r>
        <w:rPr>
          <w:rFonts w:hint="eastAsia"/>
          <w:color w:val="800000"/>
          <w:sz w:val="24"/>
        </w:rPr>
        <w:t xml:space="preserve"> </w:t>
      </w:r>
      <w:r>
        <w:rPr>
          <w:rFonts w:hint="eastAsia"/>
          <w:color w:val="000000"/>
          <w:sz w:val="24"/>
        </w:rPr>
        <w:t xml:space="preserve">liquidity into the banking system in 2014, the PBC restricted the eligibility of counterparties in MLF operations to commercial banks among </w:t>
      </w:r>
      <w:r>
        <w:rPr>
          <w:color w:val="000000"/>
          <w:sz w:val="24"/>
        </w:rPr>
        <w:t xml:space="preserve">the </w:t>
      </w:r>
      <w:r>
        <w:rPr>
          <w:rFonts w:hint="eastAsia"/>
          <w:color w:val="000000"/>
          <w:sz w:val="24"/>
        </w:rPr>
        <w:t>primary dealers in OMOs that did better in macro-prudential assessment</w:t>
      </w:r>
      <w:r>
        <w:rPr>
          <w:color w:val="000000"/>
          <w:sz w:val="24"/>
        </w:rPr>
        <w:t>s</w:t>
      </w:r>
      <w:r>
        <w:rPr>
          <w:rFonts w:hint="eastAsia"/>
          <w:color w:val="000000"/>
          <w:sz w:val="24"/>
        </w:rPr>
        <w:t xml:space="preserve"> (MPA). In sum, the PBC first determines the range of eligible counterparties based on common standards and then selects a subset that </w:t>
      </w:r>
      <w:r>
        <w:rPr>
          <w:color w:val="000000"/>
          <w:sz w:val="24"/>
        </w:rPr>
        <w:t xml:space="preserve">best </w:t>
      </w:r>
      <w:r>
        <w:rPr>
          <w:rFonts w:hint="eastAsia"/>
          <w:color w:val="000000"/>
          <w:sz w:val="24"/>
        </w:rPr>
        <w:t xml:space="preserve">fits the requirements with respect to specific types of operations in light of </w:t>
      </w:r>
      <w:r>
        <w:rPr>
          <w:color w:val="000000"/>
          <w:sz w:val="24"/>
        </w:rPr>
        <w:t xml:space="preserve">the </w:t>
      </w:r>
      <w:r>
        <w:rPr>
          <w:rFonts w:hint="eastAsia"/>
          <w:color w:val="000000"/>
          <w:sz w:val="24"/>
        </w:rPr>
        <w:t>macro regulation</w:t>
      </w:r>
      <w:r>
        <w:rPr>
          <w:color w:val="000000"/>
          <w:sz w:val="24"/>
        </w:rPr>
        <w:t>s</w:t>
      </w:r>
      <w:r>
        <w:rPr>
          <w:rFonts w:hint="eastAsia"/>
          <w:color w:val="000000"/>
          <w:sz w:val="24"/>
        </w:rPr>
        <w:t xml:space="preserve">. </w:t>
      </w:r>
      <w:r>
        <w:rPr>
          <w:color w:val="000000"/>
          <w:sz w:val="24"/>
        </w:rPr>
        <w:t>This</w:t>
      </w:r>
      <w:r>
        <w:rPr>
          <w:rFonts w:hint="eastAsia"/>
          <w:color w:val="000000"/>
          <w:sz w:val="24"/>
        </w:rPr>
        <w:t xml:space="preserve"> is easy for the market to understand and for the PBC to operate, and doing so also helps keep </w:t>
      </w:r>
      <w:r>
        <w:rPr>
          <w:color w:val="000000"/>
          <w:sz w:val="24"/>
        </w:rPr>
        <w:t>technical</w:t>
      </w:r>
      <w:r>
        <w:rPr>
          <w:rFonts w:hint="eastAsia"/>
          <w:color w:val="000000"/>
          <w:sz w:val="24"/>
        </w:rPr>
        <w:t xml:space="preserve"> and market adjustment cost</w:t>
      </w:r>
      <w:r>
        <w:rPr>
          <w:color w:val="000000"/>
          <w:sz w:val="24"/>
        </w:rPr>
        <w:t>s</w:t>
      </w:r>
      <w:r>
        <w:rPr>
          <w:rFonts w:hint="eastAsia"/>
          <w:color w:val="000000"/>
          <w:sz w:val="24"/>
        </w:rPr>
        <w:t xml:space="preserve"> comparatively low, thereby ensuring </w:t>
      </w:r>
      <w:r>
        <w:rPr>
          <w:color w:val="000000"/>
          <w:sz w:val="24"/>
        </w:rPr>
        <w:t xml:space="preserve">fair, effective, and safe </w:t>
      </w:r>
      <w:r>
        <w:rPr>
          <w:rFonts w:hint="eastAsia"/>
          <w:color w:val="000000"/>
          <w:sz w:val="24"/>
        </w:rPr>
        <w:t>monetary</w:t>
      </w:r>
      <w:r>
        <w:rPr>
          <w:color w:val="000000"/>
          <w:sz w:val="24"/>
        </w:rPr>
        <w:t>-</w:t>
      </w:r>
      <w:r>
        <w:rPr>
          <w:rFonts w:hint="eastAsia"/>
          <w:color w:val="000000"/>
          <w:sz w:val="24"/>
        </w:rPr>
        <w:t>policy</w:t>
      </w:r>
      <w:r>
        <w:rPr>
          <w:color w:val="000000"/>
          <w:sz w:val="24"/>
        </w:rPr>
        <w:t xml:space="preserve"> operations</w:t>
      </w:r>
      <w:r>
        <w:rPr>
          <w:rFonts w:hint="eastAsia"/>
          <w:color w:val="000000"/>
          <w:sz w:val="24"/>
        </w:rPr>
        <w:t>.</w:t>
      </w:r>
    </w:p>
    <w:p>
      <w:pPr>
        <w:shd w:val="clear" w:color="auto" w:fill="CCFFCC"/>
        <w:spacing w:line="360" w:lineRule="auto"/>
        <w:rPr>
          <w:color w:val="000000"/>
          <w:sz w:val="24"/>
        </w:rPr>
      </w:pPr>
    </w:p>
    <w:p>
      <w:pPr>
        <w:shd w:val="clear" w:color="auto" w:fill="CCFFCC"/>
        <w:spacing w:line="360" w:lineRule="auto"/>
        <w:rPr>
          <w:color w:val="000000"/>
          <w:sz w:val="24"/>
        </w:rPr>
      </w:pPr>
      <w:r>
        <w:rPr>
          <w:rFonts w:hint="eastAsia"/>
          <w:color w:val="000000"/>
          <w:sz w:val="24"/>
        </w:rPr>
        <w:t xml:space="preserve">Given the changes in the market environment and money supply, the current requirements for primary dealers in OMOs </w:t>
      </w:r>
      <w:r>
        <w:rPr>
          <w:color w:val="000000"/>
          <w:sz w:val="24"/>
        </w:rPr>
        <w:t xml:space="preserve">are </w:t>
      </w:r>
      <w:r>
        <w:rPr>
          <w:rFonts w:hint="eastAsia"/>
          <w:color w:val="000000"/>
          <w:sz w:val="24"/>
        </w:rPr>
        <w:t>quite different from those in 2004 when the appraisal system was established. In March 2018, the PBC introduced a new index system</w:t>
      </w:r>
      <w:r>
        <w:rPr>
          <w:color w:val="000000"/>
          <w:sz w:val="24"/>
        </w:rPr>
        <w:t xml:space="preserve"> for the appraisal system</w:t>
      </w:r>
      <w:r>
        <w:rPr>
          <w:rFonts w:hint="eastAsia"/>
          <w:color w:val="000000"/>
          <w:sz w:val="24"/>
        </w:rPr>
        <w:t xml:space="preserve">, which includes 32 indicators in seven categories </w:t>
      </w:r>
      <w:r>
        <w:rPr>
          <w:color w:val="000000"/>
          <w:sz w:val="24"/>
        </w:rPr>
        <w:t>at</w:t>
      </w:r>
      <w:r>
        <w:rPr>
          <w:rFonts w:hint="eastAsia"/>
          <w:color w:val="000000"/>
          <w:sz w:val="24"/>
        </w:rPr>
        <w:t xml:space="preserve"> three levels. Specifically, indicators </w:t>
      </w:r>
      <w:r>
        <w:rPr>
          <w:color w:val="000000"/>
          <w:sz w:val="24"/>
        </w:rPr>
        <w:t xml:space="preserve">regarding their </w:t>
      </w:r>
      <w:r>
        <w:rPr>
          <w:rFonts w:hint="eastAsia"/>
          <w:i/>
          <w:iCs/>
          <w:color w:val="000000"/>
          <w:sz w:val="24"/>
        </w:rPr>
        <w:t>transmission of monetary policy</w:t>
      </w:r>
      <w:r>
        <w:rPr>
          <w:rFonts w:hint="eastAsia"/>
          <w:color w:val="000000"/>
          <w:sz w:val="24"/>
        </w:rPr>
        <w:t xml:space="preserve"> mainly evaluate the primary</w:t>
      </w:r>
      <w:r>
        <w:rPr>
          <w:color w:val="000000"/>
          <w:sz w:val="24"/>
        </w:rPr>
        <w:t>-</w:t>
      </w:r>
      <w:r>
        <w:rPr>
          <w:rFonts w:hint="eastAsia"/>
          <w:color w:val="000000"/>
          <w:sz w:val="24"/>
        </w:rPr>
        <w:t>dealers</w:t>
      </w:r>
      <w:r>
        <w:rPr>
          <w:color w:val="000000"/>
          <w:sz w:val="24"/>
        </w:rPr>
        <w:t>’</w:t>
      </w:r>
      <w:r>
        <w:rPr>
          <w:rFonts w:hint="eastAsia"/>
          <w:color w:val="000000"/>
          <w:sz w:val="24"/>
        </w:rPr>
        <w:t xml:space="preserve"> participation in OMOs and the</w:t>
      </w:r>
      <w:r>
        <w:rPr>
          <w:color w:val="000000"/>
          <w:sz w:val="24"/>
        </w:rPr>
        <w:t xml:space="preserve">ir </w:t>
      </w:r>
      <w:r>
        <w:rPr>
          <w:rFonts w:hint="eastAsia"/>
          <w:color w:val="000000"/>
          <w:sz w:val="24"/>
        </w:rPr>
        <w:t xml:space="preserve"> ability to ease</w:t>
      </w:r>
      <w:r>
        <w:rPr>
          <w:rFonts w:hint="eastAsia"/>
          <w:sz w:val="24"/>
        </w:rPr>
        <w:t xml:space="preserve"> structural liquidity shortage</w:t>
      </w:r>
      <w:r>
        <w:rPr>
          <w:sz w:val="24"/>
        </w:rPr>
        <w:t>s</w:t>
      </w:r>
      <w:r>
        <w:rPr>
          <w:rFonts w:hint="eastAsia"/>
          <w:color w:val="000000"/>
          <w:sz w:val="24"/>
        </w:rPr>
        <w:t xml:space="preserve">; indicators </w:t>
      </w:r>
      <w:r>
        <w:rPr>
          <w:color w:val="000000"/>
          <w:sz w:val="24"/>
        </w:rPr>
        <w:t xml:space="preserve">regarding their </w:t>
      </w:r>
      <w:r>
        <w:rPr>
          <w:rFonts w:hint="eastAsia"/>
          <w:i/>
          <w:iCs/>
          <w:color w:val="000000"/>
          <w:sz w:val="24"/>
        </w:rPr>
        <w:t>role as stabilizers for the market</w:t>
      </w:r>
      <w:r>
        <w:rPr>
          <w:rFonts w:hint="eastAsia"/>
          <w:color w:val="000000"/>
          <w:sz w:val="24"/>
        </w:rPr>
        <w:t xml:space="preserve"> primarily evaluate the consistency, stability</w:t>
      </w:r>
      <w:r>
        <w:rPr>
          <w:color w:val="000000"/>
          <w:sz w:val="24"/>
        </w:rPr>
        <w:t>,</w:t>
      </w:r>
      <w:r>
        <w:rPr>
          <w:rFonts w:hint="eastAsia"/>
          <w:color w:val="000000"/>
          <w:sz w:val="24"/>
        </w:rPr>
        <w:t xml:space="preserve"> and pricing ability in their financing activities on the money market; indicators </w:t>
      </w:r>
      <w:r>
        <w:rPr>
          <w:color w:val="000000"/>
          <w:sz w:val="24"/>
        </w:rPr>
        <w:t xml:space="preserve">regarding their </w:t>
      </w:r>
      <w:r>
        <w:rPr>
          <w:rFonts w:hint="eastAsia"/>
          <w:i/>
          <w:iCs/>
          <w:color w:val="000000"/>
          <w:sz w:val="24"/>
        </w:rPr>
        <w:t xml:space="preserve">levels of market activity and influence </w:t>
      </w:r>
      <w:r>
        <w:rPr>
          <w:rFonts w:hint="eastAsia"/>
          <w:color w:val="000000"/>
          <w:sz w:val="24"/>
        </w:rPr>
        <w:t xml:space="preserve">assess </w:t>
      </w:r>
      <w:r>
        <w:rPr>
          <w:color w:val="000000"/>
          <w:sz w:val="24"/>
        </w:rPr>
        <w:t xml:space="preserve">the </w:t>
      </w:r>
      <w:r>
        <w:rPr>
          <w:rFonts w:hint="eastAsia"/>
          <w:color w:val="000000"/>
          <w:sz w:val="24"/>
        </w:rPr>
        <w:t>primary</w:t>
      </w:r>
      <w:r>
        <w:rPr>
          <w:color w:val="000000"/>
          <w:sz w:val="24"/>
        </w:rPr>
        <w:t>-</w:t>
      </w:r>
      <w:r>
        <w:rPr>
          <w:rFonts w:hint="eastAsia"/>
          <w:color w:val="000000"/>
          <w:sz w:val="24"/>
        </w:rPr>
        <w:t>dealers</w:t>
      </w:r>
      <w:r>
        <w:rPr>
          <w:color w:val="000000"/>
          <w:sz w:val="24"/>
        </w:rPr>
        <w:t>’</w:t>
      </w:r>
      <w:r>
        <w:rPr>
          <w:rFonts w:hint="eastAsia"/>
          <w:color w:val="000000"/>
          <w:sz w:val="24"/>
        </w:rPr>
        <w:t xml:space="preserve"> activit</w:t>
      </w:r>
      <w:r>
        <w:rPr>
          <w:color w:val="000000"/>
          <w:sz w:val="24"/>
        </w:rPr>
        <w:t>ies,</w:t>
      </w:r>
      <w:r>
        <w:rPr>
          <w:rFonts w:hint="eastAsia"/>
          <w:color w:val="000000"/>
          <w:sz w:val="24"/>
        </w:rPr>
        <w:t xml:space="preserve"> such as subscription</w:t>
      </w:r>
      <w:r>
        <w:rPr>
          <w:color w:val="000000"/>
          <w:sz w:val="24"/>
        </w:rPr>
        <w:t>s</w:t>
      </w:r>
      <w:r>
        <w:rPr>
          <w:rFonts w:hint="eastAsia"/>
          <w:color w:val="000000"/>
          <w:sz w:val="24"/>
        </w:rPr>
        <w:t>, transaction</w:t>
      </w:r>
      <w:r>
        <w:rPr>
          <w:color w:val="000000"/>
          <w:sz w:val="24"/>
        </w:rPr>
        <w:t>s</w:t>
      </w:r>
      <w:r>
        <w:rPr>
          <w:rFonts w:hint="eastAsia"/>
          <w:color w:val="000000"/>
          <w:sz w:val="24"/>
        </w:rPr>
        <w:t>, and market-making on the money and bond market</w:t>
      </w:r>
      <w:r>
        <w:rPr>
          <w:color w:val="000000"/>
          <w:sz w:val="24"/>
        </w:rPr>
        <w:t>s</w:t>
      </w:r>
      <w:r>
        <w:rPr>
          <w:rFonts w:hint="eastAsia"/>
          <w:color w:val="000000"/>
          <w:sz w:val="24"/>
        </w:rPr>
        <w:t xml:space="preserve">; indicators </w:t>
      </w:r>
      <w:r>
        <w:rPr>
          <w:color w:val="000000"/>
          <w:sz w:val="24"/>
        </w:rPr>
        <w:t>regarding their</w:t>
      </w:r>
      <w:r>
        <w:rPr>
          <w:rFonts w:hint="eastAsia"/>
          <w:color w:val="000000"/>
          <w:sz w:val="24"/>
        </w:rPr>
        <w:t xml:space="preserve"> </w:t>
      </w:r>
      <w:r>
        <w:rPr>
          <w:rFonts w:hint="eastAsia"/>
          <w:i/>
          <w:iCs/>
          <w:color w:val="000000"/>
          <w:sz w:val="24"/>
        </w:rPr>
        <w:t>prudent operations in accordance with</w:t>
      </w:r>
      <w:r>
        <w:rPr>
          <w:i/>
          <w:iCs/>
          <w:color w:val="000000"/>
          <w:sz w:val="24"/>
        </w:rPr>
        <w:t xml:space="preserve"> the</w:t>
      </w:r>
      <w:r>
        <w:rPr>
          <w:rFonts w:hint="eastAsia"/>
          <w:i/>
          <w:iCs/>
          <w:color w:val="000000"/>
          <w:sz w:val="24"/>
        </w:rPr>
        <w:t xml:space="preserve"> laws and regulations </w:t>
      </w:r>
      <w:r>
        <w:rPr>
          <w:rFonts w:hint="eastAsia"/>
          <w:color w:val="000000"/>
          <w:sz w:val="24"/>
        </w:rPr>
        <w:t xml:space="preserve">take into account their performance in the MPA and other regulatory and supervisory assessments; indicators </w:t>
      </w:r>
      <w:r>
        <w:rPr>
          <w:color w:val="000000"/>
          <w:sz w:val="24"/>
        </w:rPr>
        <w:t>regarding their</w:t>
      </w:r>
      <w:r>
        <w:rPr>
          <w:rFonts w:hint="eastAsia"/>
          <w:color w:val="000000"/>
          <w:sz w:val="24"/>
        </w:rPr>
        <w:t xml:space="preserve"> </w:t>
      </w:r>
      <w:r>
        <w:rPr>
          <w:rFonts w:hint="eastAsia"/>
          <w:i/>
          <w:iCs/>
          <w:color w:val="000000"/>
          <w:sz w:val="24"/>
        </w:rPr>
        <w:t>liquidity management ability</w:t>
      </w:r>
      <w:r>
        <w:rPr>
          <w:rFonts w:hint="eastAsia"/>
          <w:color w:val="000000"/>
          <w:sz w:val="24"/>
        </w:rPr>
        <w:t xml:space="preserve"> look into the liquidity gap of </w:t>
      </w:r>
      <w:r>
        <w:rPr>
          <w:color w:val="000000"/>
          <w:sz w:val="24"/>
        </w:rPr>
        <w:t xml:space="preserve">the </w:t>
      </w:r>
      <w:r>
        <w:rPr>
          <w:rFonts w:hint="eastAsia"/>
          <w:color w:val="000000"/>
          <w:sz w:val="24"/>
        </w:rPr>
        <w:t>primary dealers and their reliance on central</w:t>
      </w:r>
      <w:r>
        <w:rPr>
          <w:color w:val="000000"/>
          <w:sz w:val="24"/>
        </w:rPr>
        <w:t>-</w:t>
      </w:r>
      <w:r>
        <w:rPr>
          <w:rFonts w:hint="eastAsia"/>
          <w:color w:val="000000"/>
          <w:sz w:val="24"/>
        </w:rPr>
        <w:t xml:space="preserve">bank funding; finally, indicators </w:t>
      </w:r>
      <w:r>
        <w:rPr>
          <w:color w:val="000000"/>
          <w:sz w:val="24"/>
        </w:rPr>
        <w:t>regarding their</w:t>
      </w:r>
      <w:r>
        <w:rPr>
          <w:rFonts w:hint="eastAsia"/>
          <w:color w:val="000000"/>
          <w:sz w:val="24"/>
        </w:rPr>
        <w:t xml:space="preserve"> </w:t>
      </w:r>
      <w:r>
        <w:rPr>
          <w:i/>
          <w:color w:val="000000"/>
          <w:sz w:val="24"/>
        </w:rPr>
        <w:t>relevant work on</w:t>
      </w:r>
      <w:r>
        <w:rPr>
          <w:color w:val="000000"/>
          <w:sz w:val="24"/>
        </w:rPr>
        <w:t xml:space="preserve"> </w:t>
      </w:r>
      <w:r>
        <w:rPr>
          <w:rFonts w:hint="eastAsia"/>
          <w:i/>
          <w:iCs/>
          <w:color w:val="000000"/>
          <w:sz w:val="24"/>
        </w:rPr>
        <w:t>operation</w:t>
      </w:r>
      <w:r>
        <w:rPr>
          <w:i/>
          <w:iCs/>
          <w:color w:val="000000"/>
          <w:sz w:val="24"/>
        </w:rPr>
        <w:t>s</w:t>
      </w:r>
      <w:r>
        <w:rPr>
          <w:rFonts w:hint="eastAsia"/>
          <w:i/>
          <w:iCs/>
          <w:color w:val="000000"/>
          <w:sz w:val="24"/>
        </w:rPr>
        <w:t xml:space="preserve"> and support to the OMO Division </w:t>
      </w:r>
      <w:r>
        <w:rPr>
          <w:rFonts w:hint="eastAsia"/>
          <w:color w:val="000000"/>
          <w:sz w:val="24"/>
        </w:rPr>
        <w:t xml:space="preserve">evaluate whether </w:t>
      </w:r>
      <w:r>
        <w:rPr>
          <w:color w:val="000000"/>
          <w:sz w:val="24"/>
        </w:rPr>
        <w:t xml:space="preserve">the </w:t>
      </w:r>
      <w:r>
        <w:rPr>
          <w:rFonts w:hint="eastAsia"/>
          <w:color w:val="000000"/>
          <w:sz w:val="24"/>
        </w:rPr>
        <w:t xml:space="preserve">primary dealers participate in OMOs with integrity and in a safe and standard </w:t>
      </w:r>
      <w:r>
        <w:rPr>
          <w:color w:val="000000"/>
          <w:sz w:val="24"/>
        </w:rPr>
        <w:t>manner</w:t>
      </w:r>
      <w:r>
        <w:rPr>
          <w:rFonts w:hint="eastAsia"/>
          <w:color w:val="000000"/>
          <w:sz w:val="24"/>
        </w:rPr>
        <w:t>.</w:t>
      </w:r>
    </w:p>
    <w:p>
      <w:pPr>
        <w:shd w:val="clear" w:color="auto" w:fill="CCFFCC"/>
        <w:spacing w:line="360" w:lineRule="auto"/>
        <w:rPr>
          <w:color w:val="000000"/>
          <w:sz w:val="24"/>
        </w:rPr>
      </w:pPr>
    </w:p>
    <w:p>
      <w:pPr>
        <w:shd w:val="clear" w:color="auto" w:fill="CCFFCC"/>
        <w:spacing w:line="360" w:lineRule="auto"/>
        <w:rPr>
          <w:color w:val="000000"/>
          <w:sz w:val="24"/>
        </w:rPr>
      </w:pPr>
      <w:r>
        <w:rPr>
          <w:rFonts w:hint="eastAsia"/>
          <w:color w:val="000000"/>
          <w:sz w:val="24"/>
        </w:rPr>
        <w:t xml:space="preserve">Compared with the original indicators, the coverage of the new appraisal index system is substantially broader, which is </w:t>
      </w:r>
      <w:r>
        <w:rPr>
          <w:color w:val="000000"/>
          <w:sz w:val="24"/>
        </w:rPr>
        <w:t xml:space="preserve">beneficial </w:t>
      </w:r>
      <w:r>
        <w:rPr>
          <w:rFonts w:hint="eastAsia"/>
          <w:color w:val="000000"/>
          <w:sz w:val="24"/>
        </w:rPr>
        <w:t xml:space="preserve">to evaluate the ability and performance of the financial institutions </w:t>
      </w:r>
      <w:r>
        <w:rPr>
          <w:color w:val="000000"/>
          <w:sz w:val="24"/>
        </w:rPr>
        <w:t xml:space="preserve">to </w:t>
      </w:r>
      <w:r>
        <w:rPr>
          <w:rFonts w:hint="eastAsia"/>
          <w:color w:val="000000"/>
          <w:sz w:val="24"/>
        </w:rPr>
        <w:t>comprehensively and accurately</w:t>
      </w:r>
      <w:r>
        <w:rPr>
          <w:color w:val="000000"/>
          <w:sz w:val="24"/>
        </w:rPr>
        <w:t xml:space="preserve"> fulfill </w:t>
      </w:r>
      <w:r>
        <w:rPr>
          <w:rFonts w:hint="eastAsia"/>
          <w:color w:val="000000"/>
          <w:sz w:val="24"/>
        </w:rPr>
        <w:t xml:space="preserve">their roles as primary dealers in OMOs. Additionally, it reflects the new requirements put forth by the PBC for primary dealers in </w:t>
      </w:r>
      <w:r>
        <w:rPr>
          <w:color w:val="000000"/>
          <w:sz w:val="24"/>
        </w:rPr>
        <w:t xml:space="preserve">respects </w:t>
      </w:r>
      <w:r>
        <w:rPr>
          <w:rFonts w:hint="eastAsia"/>
          <w:color w:val="000000"/>
          <w:sz w:val="24"/>
        </w:rPr>
        <w:t xml:space="preserve">such as </w:t>
      </w:r>
      <w:r>
        <w:rPr>
          <w:color w:val="000000"/>
          <w:sz w:val="24"/>
        </w:rPr>
        <w:t xml:space="preserve">the </w:t>
      </w:r>
      <w:r>
        <w:rPr>
          <w:rFonts w:hint="eastAsia"/>
          <w:color w:val="000000"/>
          <w:sz w:val="24"/>
        </w:rPr>
        <w:t xml:space="preserve">macro prudential assessment, providing </w:t>
      </w:r>
      <w:r>
        <w:rPr>
          <w:rFonts w:hint="eastAsia"/>
          <w:sz w:val="24"/>
        </w:rPr>
        <w:t>liquidity across the market, i</w:t>
      </w:r>
      <w:r>
        <w:rPr>
          <w:rFonts w:hint="eastAsia"/>
          <w:color w:val="000000"/>
          <w:sz w:val="24"/>
        </w:rPr>
        <w:t xml:space="preserve">mproving the </w:t>
      </w:r>
      <w:r>
        <w:rPr>
          <w:color w:val="000000"/>
          <w:sz w:val="24"/>
        </w:rPr>
        <w:t xml:space="preserve">interest-rate </w:t>
      </w:r>
      <w:r>
        <w:rPr>
          <w:rFonts w:hint="eastAsia"/>
          <w:color w:val="000000"/>
          <w:sz w:val="24"/>
        </w:rPr>
        <w:t>transmission mechanism, and smoothing out market fluctuations. Moreover, the change is an upgrade and improvement to the primary</w:t>
      </w:r>
      <w:r>
        <w:rPr>
          <w:color w:val="000000"/>
          <w:sz w:val="24"/>
        </w:rPr>
        <w:t>-</w:t>
      </w:r>
      <w:r>
        <w:rPr>
          <w:rFonts w:hint="eastAsia"/>
          <w:color w:val="000000"/>
          <w:sz w:val="24"/>
        </w:rPr>
        <w:t>dealer system, where</w:t>
      </w:r>
      <w:r>
        <w:rPr>
          <w:color w:val="000000"/>
          <w:sz w:val="24"/>
        </w:rPr>
        <w:t>by</w:t>
      </w:r>
      <w:r>
        <w:rPr>
          <w:rFonts w:hint="eastAsia"/>
          <w:color w:val="000000"/>
          <w:sz w:val="24"/>
        </w:rPr>
        <w:t xml:space="preserve"> the PBC applies the principle of </w:t>
      </w:r>
      <w:r>
        <w:rPr>
          <w:color w:val="000000"/>
          <w:sz w:val="24"/>
        </w:rPr>
        <w:t>“</w:t>
      </w:r>
      <w:r>
        <w:rPr>
          <w:rFonts w:hint="eastAsia"/>
          <w:color w:val="000000"/>
          <w:sz w:val="24"/>
        </w:rPr>
        <w:t>high standard</w:t>
      </w:r>
      <w:r>
        <w:rPr>
          <w:color w:val="000000"/>
          <w:sz w:val="24"/>
        </w:rPr>
        <w:t>s</w:t>
      </w:r>
      <w:r>
        <w:rPr>
          <w:rFonts w:hint="eastAsia"/>
          <w:color w:val="000000"/>
          <w:sz w:val="24"/>
        </w:rPr>
        <w:t>, fewer but better</w:t>
      </w:r>
      <w:r>
        <w:rPr>
          <w:color w:val="000000"/>
          <w:sz w:val="24"/>
        </w:rPr>
        <w:t>”</w:t>
      </w:r>
      <w:r>
        <w:rPr>
          <w:rFonts w:hint="eastAsia"/>
          <w:color w:val="000000"/>
          <w:sz w:val="24"/>
        </w:rPr>
        <w:t xml:space="preserve"> to the selection of primary dealers. This should help </w:t>
      </w:r>
      <w:r>
        <w:rPr>
          <w:color w:val="000000"/>
          <w:sz w:val="24"/>
        </w:rPr>
        <w:t>motivate</w:t>
      </w:r>
      <w:r>
        <w:rPr>
          <w:rFonts w:hint="eastAsia"/>
          <w:color w:val="000000"/>
          <w:sz w:val="24"/>
        </w:rPr>
        <w:t xml:space="preserve"> the primary dealers to carry out their duties and </w:t>
      </w:r>
      <w:r>
        <w:rPr>
          <w:color w:val="000000"/>
          <w:sz w:val="24"/>
        </w:rPr>
        <w:t xml:space="preserve">to </w:t>
      </w:r>
      <w:r>
        <w:rPr>
          <w:rFonts w:hint="eastAsia"/>
          <w:color w:val="000000"/>
          <w:sz w:val="24"/>
        </w:rPr>
        <w:t xml:space="preserve">promote the achievement of </w:t>
      </w:r>
      <w:r>
        <w:rPr>
          <w:color w:val="000000"/>
          <w:sz w:val="24"/>
        </w:rPr>
        <w:t xml:space="preserve">the </w:t>
      </w:r>
      <w:r>
        <w:rPr>
          <w:rFonts w:hint="eastAsia"/>
          <w:color w:val="000000"/>
          <w:sz w:val="24"/>
        </w:rPr>
        <w:t>monetary</w:t>
      </w:r>
      <w:r>
        <w:rPr>
          <w:color w:val="000000"/>
          <w:sz w:val="24"/>
        </w:rPr>
        <w:t>-</w:t>
      </w:r>
      <w:r>
        <w:rPr>
          <w:rFonts w:hint="eastAsia"/>
          <w:color w:val="000000"/>
          <w:sz w:val="24"/>
        </w:rPr>
        <w:t xml:space="preserve">policy goals. </w:t>
      </w:r>
    </w:p>
    <w:p>
      <w:pPr>
        <w:shd w:val="clear" w:color="auto" w:fill="CCFFCC"/>
        <w:spacing w:line="360" w:lineRule="auto"/>
        <w:rPr>
          <w:color w:val="000000"/>
          <w:sz w:val="24"/>
        </w:rPr>
      </w:pPr>
    </w:p>
    <w:p>
      <w:pPr>
        <w:shd w:val="clear" w:color="auto" w:fill="CCFFCC"/>
        <w:spacing w:line="360" w:lineRule="auto"/>
        <w:rPr>
          <w:kern w:val="0"/>
          <w:sz w:val="24"/>
        </w:rPr>
      </w:pPr>
      <w:r>
        <w:rPr>
          <w:rFonts w:hint="eastAsia"/>
          <w:color w:val="000000"/>
          <w:sz w:val="24"/>
        </w:rPr>
        <w:t xml:space="preserve">In conclusion, </w:t>
      </w:r>
      <w:r>
        <w:rPr>
          <w:color w:val="000000"/>
          <w:sz w:val="24"/>
        </w:rPr>
        <w:t xml:space="preserve">the </w:t>
      </w:r>
      <w:r>
        <w:rPr>
          <w:rFonts w:hint="eastAsia"/>
          <w:color w:val="000000"/>
          <w:sz w:val="24"/>
        </w:rPr>
        <w:t xml:space="preserve">effective selection and management of primary dealers are key steps in </w:t>
      </w:r>
      <w:r>
        <w:rPr>
          <w:color w:val="000000"/>
          <w:sz w:val="24"/>
        </w:rPr>
        <w:t xml:space="preserve">the </w:t>
      </w:r>
      <w:r>
        <w:rPr>
          <w:rFonts w:hint="eastAsia"/>
          <w:color w:val="000000"/>
          <w:sz w:val="24"/>
        </w:rPr>
        <w:t>central</w:t>
      </w:r>
      <w:r>
        <w:rPr>
          <w:color w:val="000000"/>
          <w:sz w:val="24"/>
        </w:rPr>
        <w:t>-</w:t>
      </w:r>
      <w:r>
        <w:rPr>
          <w:rFonts w:hint="eastAsia"/>
          <w:color w:val="000000"/>
          <w:sz w:val="24"/>
        </w:rPr>
        <w:t>banks</w:t>
      </w:r>
      <w:r>
        <w:rPr>
          <w:color w:val="000000"/>
          <w:sz w:val="24"/>
        </w:rPr>
        <w:t>’</w:t>
      </w:r>
      <w:r>
        <w:rPr>
          <w:rFonts w:hint="eastAsia"/>
          <w:color w:val="000000"/>
          <w:sz w:val="24"/>
        </w:rPr>
        <w:t xml:space="preserve"> monetary</w:t>
      </w:r>
      <w:r>
        <w:rPr>
          <w:color w:val="000000"/>
          <w:sz w:val="24"/>
        </w:rPr>
        <w:t>-</w:t>
      </w:r>
      <w:r>
        <w:rPr>
          <w:rFonts w:hint="eastAsia"/>
          <w:color w:val="000000"/>
          <w:sz w:val="24"/>
        </w:rPr>
        <w:t xml:space="preserve">policy operations. Given this, the PBC will continue to improve the relevant management system based on China's own situation and draw on international experiences, thereby ensuring the effective implementation and transmission of monetary policy.  </w:t>
      </w:r>
      <w:bookmarkEnd w:id="65"/>
      <w:bookmarkEnd w:id="67"/>
    </w:p>
    <w:p>
      <w:pPr>
        <w:rPr>
          <w:kern w:val="0"/>
          <w:sz w:val="24"/>
        </w:rPr>
      </w:pPr>
    </w:p>
    <w:p>
      <w:pPr>
        <w:pStyle w:val="3"/>
        <w:ind w:firstLine="0" w:firstLineChars="0"/>
        <w:rPr>
          <w:rFonts w:ascii="Times New Roman" w:hAnsi="Times New Roman"/>
          <w:sz w:val="24"/>
          <w:szCs w:val="24"/>
        </w:rPr>
      </w:pPr>
      <w:bookmarkStart w:id="68" w:name="_Toc517190507"/>
      <w:r>
        <w:rPr>
          <w:rFonts w:hint="eastAsia" w:ascii="Times New Roman" w:hAnsi="Times New Roman"/>
          <w:sz w:val="24"/>
          <w:szCs w:val="24"/>
        </w:rPr>
        <w:t>II. Conducting Standing Lending Facility (SLF) and MLF Operations</w:t>
      </w:r>
      <w:bookmarkEnd w:id="68"/>
      <w:r>
        <w:rPr>
          <w:rFonts w:hint="eastAsia" w:ascii="Times New Roman" w:hAnsi="Times New Roman"/>
          <w:sz w:val="24"/>
          <w:szCs w:val="24"/>
        </w:rPr>
        <w:t xml:space="preserve"> </w:t>
      </w:r>
    </w:p>
    <w:p>
      <w:pPr>
        <w:rPr>
          <w:rFonts w:eastAsia="Times New Roman"/>
          <w:kern w:val="0"/>
          <w:sz w:val="24"/>
        </w:rPr>
      </w:pPr>
      <w:r>
        <w:rPr>
          <w:rFonts w:hint="eastAsia" w:eastAsia="Times New Roman"/>
          <w:kern w:val="0"/>
          <w:sz w:val="24"/>
        </w:rPr>
        <w:t>In Q1, the PBC employed a combination of monetary</w:t>
      </w:r>
      <w:r>
        <w:rPr>
          <w:rFonts w:eastAsia="Times New Roman"/>
          <w:kern w:val="0"/>
          <w:sz w:val="24"/>
        </w:rPr>
        <w:t>-</w:t>
      </w:r>
      <w:r>
        <w:rPr>
          <w:rFonts w:hint="eastAsia" w:eastAsia="Times New Roman"/>
          <w:kern w:val="0"/>
          <w:sz w:val="24"/>
        </w:rPr>
        <w:t xml:space="preserve">policy instruments, such as the MLF and the SLF, to enhance the flexibility and </w:t>
      </w:r>
      <w:r>
        <w:rPr>
          <w:rFonts w:eastAsia="Times New Roman"/>
          <w:kern w:val="0"/>
          <w:sz w:val="24"/>
        </w:rPr>
        <w:t>effectiveness</w:t>
      </w:r>
      <w:r>
        <w:rPr>
          <w:rFonts w:hint="eastAsia" w:eastAsia="Times New Roman"/>
          <w:kern w:val="0"/>
          <w:sz w:val="24"/>
        </w:rPr>
        <w:t xml:space="preserve"> of liquidity management and </w:t>
      </w:r>
      <w:r>
        <w:rPr>
          <w:rFonts w:eastAsia="Times New Roman"/>
          <w:kern w:val="0"/>
          <w:sz w:val="24"/>
        </w:rPr>
        <w:t xml:space="preserve">to </w:t>
      </w:r>
      <w:r>
        <w:rPr>
          <w:rFonts w:hint="eastAsia" w:eastAsia="Times New Roman"/>
          <w:kern w:val="0"/>
          <w:sz w:val="24"/>
        </w:rPr>
        <w:t>maintain liquidity at a proper and stable level.</w:t>
      </w:r>
    </w:p>
    <w:p>
      <w:pPr>
        <w:rPr>
          <w:rFonts w:eastAsia="Times New Roman"/>
          <w:kern w:val="0"/>
          <w:sz w:val="24"/>
        </w:rPr>
      </w:pPr>
    </w:p>
    <w:p>
      <w:pPr>
        <w:rPr>
          <w:rFonts w:eastAsia="Times New Roman"/>
          <w:kern w:val="0"/>
          <w:sz w:val="24"/>
        </w:rPr>
      </w:pPr>
      <w:r>
        <w:rPr>
          <w:rFonts w:hint="eastAsia" w:eastAsia="Times New Roman"/>
          <w:b/>
          <w:bCs/>
          <w:kern w:val="0"/>
          <w:sz w:val="24"/>
        </w:rPr>
        <w:t>SLFs were conducted promptly.</w:t>
      </w:r>
      <w:r>
        <w:rPr>
          <w:rFonts w:hint="eastAsia" w:eastAsia="Times New Roman"/>
          <w:kern w:val="0"/>
          <w:sz w:val="24"/>
        </w:rPr>
        <w:t xml:space="preserve"> To promote smooth operations of the money market, the PBC injected short-term liquidity to locally</w:t>
      </w:r>
      <w:r>
        <w:rPr>
          <w:rFonts w:eastAsia="Times New Roman"/>
          <w:kern w:val="0"/>
          <w:sz w:val="24"/>
        </w:rPr>
        <w:t>-</w:t>
      </w:r>
      <w:r>
        <w:rPr>
          <w:rFonts w:hint="eastAsia" w:eastAsia="Times New Roman"/>
          <w:kern w:val="0"/>
          <w:sz w:val="24"/>
        </w:rPr>
        <w:t>incorporated financial institutions through SLFs to fully meet their demands, while using the SLF rates as the ceiling of the interest-rate corridor. In Q1, the PBC conducted a total of RMB 106.9 billion SLF operations, with outstanding SLFs of RMB 48.2 billion at end-March. Additionally, the PBC raised the SLF rates by 5 basis points for monetary</w:t>
      </w:r>
      <w:r>
        <w:rPr>
          <w:rFonts w:eastAsia="Times New Roman"/>
          <w:kern w:val="0"/>
          <w:sz w:val="24"/>
        </w:rPr>
        <w:t>-</w:t>
      </w:r>
      <w:r>
        <w:rPr>
          <w:rFonts w:hint="eastAsia" w:eastAsia="Times New Roman"/>
          <w:kern w:val="0"/>
          <w:sz w:val="24"/>
        </w:rPr>
        <w:t>policy implementation, bringing the overnight, 7-day, and 1-month SLF interest rates to 3.40 percent, 3.55 percent, and 3.90 percent</w:t>
      </w:r>
      <w:r>
        <w:rPr>
          <w:rFonts w:eastAsia="Times New Roman"/>
          <w:kern w:val="0"/>
          <w:sz w:val="24"/>
        </w:rPr>
        <w:t>,</w:t>
      </w:r>
      <w:r>
        <w:rPr>
          <w:rFonts w:hint="eastAsia" w:eastAsia="Times New Roman"/>
          <w:kern w:val="0"/>
          <w:sz w:val="24"/>
        </w:rPr>
        <w:t xml:space="preserve"> respectively.</w:t>
      </w:r>
    </w:p>
    <w:p>
      <w:pPr>
        <w:rPr>
          <w:rFonts w:eastAsia="Times New Roman"/>
          <w:kern w:val="0"/>
          <w:sz w:val="24"/>
        </w:rPr>
      </w:pPr>
    </w:p>
    <w:p>
      <w:pPr>
        <w:rPr>
          <w:rFonts w:eastAsia="Times New Roman"/>
          <w:kern w:val="0"/>
          <w:sz w:val="24"/>
        </w:rPr>
      </w:pPr>
      <w:r>
        <w:rPr>
          <w:rFonts w:hint="eastAsia" w:eastAsia="Times New Roman"/>
          <w:b/>
          <w:bCs/>
          <w:kern w:val="0"/>
          <w:sz w:val="24"/>
        </w:rPr>
        <w:t>MLFs were conducted on a monthly basis as necessary.</w:t>
      </w:r>
      <w:r>
        <w:rPr>
          <w:rFonts w:hint="eastAsia" w:eastAsia="Times New Roman"/>
          <w:kern w:val="0"/>
          <w:sz w:val="24"/>
        </w:rPr>
        <w:t xml:space="preserve"> In Q1, the PBC conducted a total of RMB 1223.5 billion MLF operations, all with </w:t>
      </w:r>
      <w:r>
        <w:rPr>
          <w:rFonts w:eastAsia="Times New Roman"/>
          <w:kern w:val="0"/>
          <w:sz w:val="24"/>
        </w:rPr>
        <w:t xml:space="preserve">maturities of 1 year. </w:t>
      </w:r>
      <w:r>
        <w:rPr>
          <w:rFonts w:hint="eastAsia" w:eastAsia="Times New Roman"/>
          <w:kern w:val="0"/>
          <w:sz w:val="24"/>
        </w:rPr>
        <w:t xml:space="preserve">The outstanding volume of MLFs posted RMB 4917.0 billion at end-March, an increase of RMB 395.5 billion from the beginning of the year. The bid rate </w:t>
      </w:r>
      <w:r>
        <w:rPr>
          <w:rFonts w:eastAsia="Times New Roman"/>
          <w:kern w:val="0"/>
          <w:sz w:val="24"/>
        </w:rPr>
        <w:t>remained</w:t>
      </w:r>
      <w:r>
        <w:rPr>
          <w:rFonts w:hint="eastAsia" w:eastAsia="Times New Roman"/>
          <w:kern w:val="0"/>
          <w:sz w:val="24"/>
        </w:rPr>
        <w:t xml:space="preserve"> unchanged from the end of </w:t>
      </w:r>
      <w:r>
        <w:rPr>
          <w:rFonts w:eastAsia="Times New Roman"/>
          <w:kern w:val="0"/>
          <w:sz w:val="24"/>
        </w:rPr>
        <w:t xml:space="preserve">the </w:t>
      </w:r>
      <w:r>
        <w:rPr>
          <w:rFonts w:hint="eastAsia" w:eastAsia="Times New Roman"/>
          <w:kern w:val="0"/>
          <w:sz w:val="24"/>
        </w:rPr>
        <w:t>last quarter, with</w:t>
      </w:r>
      <w:r>
        <w:rPr>
          <w:rFonts w:eastAsia="Times New Roman"/>
          <w:kern w:val="0"/>
          <w:sz w:val="24"/>
        </w:rPr>
        <w:t xml:space="preserve"> the</w:t>
      </w:r>
      <w:r>
        <w:rPr>
          <w:rFonts w:hint="eastAsia" w:eastAsia="Times New Roman"/>
          <w:kern w:val="0"/>
          <w:sz w:val="24"/>
        </w:rPr>
        <w:t xml:space="preserve"> 1-year rate in the final operation at 3.25 percent. </w:t>
      </w:r>
    </w:p>
    <w:p>
      <w:pPr>
        <w:rPr>
          <w:rFonts w:eastAsia="Times New Roman"/>
          <w:kern w:val="0"/>
          <w:sz w:val="24"/>
        </w:rPr>
      </w:pPr>
      <w:r>
        <w:rPr>
          <w:rFonts w:hint="eastAsia" w:eastAsia="Times New Roman"/>
          <w:kern w:val="0"/>
          <w:sz w:val="24"/>
        </w:rPr>
        <w:t>　　　</w:t>
      </w:r>
    </w:p>
    <w:p>
      <w:pPr>
        <w:pStyle w:val="3"/>
        <w:ind w:firstLine="0" w:firstLineChars="0"/>
        <w:rPr>
          <w:rFonts w:ascii="Times New Roman" w:hAnsi="Times New Roman"/>
          <w:sz w:val="24"/>
          <w:szCs w:val="24"/>
        </w:rPr>
      </w:pPr>
      <w:bookmarkStart w:id="69" w:name="_Toc517190508"/>
      <w:r>
        <w:rPr>
          <w:rFonts w:hint="eastAsia" w:ascii="Times New Roman" w:hAnsi="Times New Roman"/>
          <w:sz w:val="24"/>
          <w:szCs w:val="24"/>
        </w:rPr>
        <w:t>III. Using Tools for Managing Reserves in a Flexible Manner</w:t>
      </w:r>
      <w:bookmarkEnd w:id="69"/>
    </w:p>
    <w:p>
      <w:pPr>
        <w:rPr>
          <w:rFonts w:eastAsia="Times New Roman"/>
          <w:kern w:val="0"/>
          <w:sz w:val="24"/>
        </w:rPr>
      </w:pPr>
      <w:r>
        <w:rPr>
          <w:rFonts w:hint="eastAsia" w:eastAsia="Times New Roman"/>
          <w:b/>
          <w:bCs/>
          <w:kern w:val="0"/>
          <w:sz w:val="24"/>
        </w:rPr>
        <w:t>Targeted RRR cuts for inclusive financ</w:t>
      </w:r>
      <w:r>
        <w:rPr>
          <w:rFonts w:eastAsia="Times New Roman"/>
          <w:b/>
          <w:bCs/>
          <w:kern w:val="0"/>
          <w:sz w:val="24"/>
        </w:rPr>
        <w:t>ing</w:t>
      </w:r>
      <w:r>
        <w:rPr>
          <w:rFonts w:hint="eastAsia" w:eastAsia="Times New Roman"/>
          <w:b/>
          <w:bCs/>
          <w:kern w:val="0"/>
          <w:sz w:val="24"/>
        </w:rPr>
        <w:t xml:space="preserve"> and the CRA were employed.</w:t>
      </w:r>
      <w:r>
        <w:rPr>
          <w:rFonts w:hint="eastAsia" w:eastAsia="Times New Roman"/>
          <w:kern w:val="0"/>
          <w:sz w:val="24"/>
        </w:rPr>
        <w:t xml:space="preserve"> Targeted RRR cuts for inclusive financ</w:t>
      </w:r>
      <w:r>
        <w:rPr>
          <w:rFonts w:eastAsia="Times New Roman"/>
          <w:kern w:val="0"/>
          <w:sz w:val="24"/>
        </w:rPr>
        <w:t>ing</w:t>
      </w:r>
      <w:r>
        <w:rPr>
          <w:rFonts w:hint="eastAsia" w:eastAsia="Times New Roman"/>
          <w:kern w:val="0"/>
          <w:sz w:val="24"/>
        </w:rPr>
        <w:t>, which became effective on January 25, 2018, released RMB 450 billion in liquidity and covered all of the large and medium</w:t>
      </w:r>
      <w:r>
        <w:rPr>
          <w:rFonts w:eastAsia="Times New Roman"/>
          <w:kern w:val="0"/>
          <w:sz w:val="24"/>
        </w:rPr>
        <w:t>-</w:t>
      </w:r>
      <w:r>
        <w:rPr>
          <w:rFonts w:hint="eastAsia" w:eastAsia="Times New Roman"/>
          <w:kern w:val="0"/>
          <w:sz w:val="24"/>
        </w:rPr>
        <w:t>sized commercial banks, nearly 80</w:t>
      </w:r>
      <w:r>
        <w:rPr>
          <w:rFonts w:eastAsia="Times New Roman"/>
          <w:kern w:val="0"/>
          <w:sz w:val="24"/>
        </w:rPr>
        <w:t xml:space="preserve"> percent</w:t>
      </w:r>
      <w:r>
        <w:rPr>
          <w:rFonts w:hint="eastAsia" w:eastAsia="Times New Roman"/>
          <w:kern w:val="0"/>
          <w:sz w:val="24"/>
        </w:rPr>
        <w:t xml:space="preserve"> of the city commercial banks, and 90</w:t>
      </w:r>
      <w:r>
        <w:rPr>
          <w:rFonts w:eastAsia="Times New Roman"/>
          <w:kern w:val="0"/>
          <w:sz w:val="24"/>
        </w:rPr>
        <w:t xml:space="preserve"> percent</w:t>
      </w:r>
      <w:r>
        <w:rPr>
          <w:rFonts w:hint="eastAsia" w:eastAsia="Times New Roman"/>
          <w:kern w:val="0"/>
          <w:sz w:val="24"/>
        </w:rPr>
        <w:t xml:space="preserve"> of the non-county rural commercial banks. In addition, </w:t>
      </w:r>
      <w:r>
        <w:rPr>
          <w:rFonts w:eastAsia="Times New Roman"/>
          <w:kern w:val="0"/>
          <w:sz w:val="24"/>
        </w:rPr>
        <w:t xml:space="preserve">since mid-January 2018 </w:t>
      </w:r>
      <w:r>
        <w:rPr>
          <w:rFonts w:hint="eastAsia" w:eastAsia="Times New Roman"/>
          <w:kern w:val="0"/>
          <w:sz w:val="24"/>
        </w:rPr>
        <w:t xml:space="preserve">national commercial banks </w:t>
      </w:r>
      <w:r>
        <w:rPr>
          <w:rFonts w:eastAsia="Times New Roman"/>
          <w:kern w:val="0"/>
          <w:sz w:val="24"/>
        </w:rPr>
        <w:t>have been</w:t>
      </w:r>
      <w:r>
        <w:rPr>
          <w:rFonts w:hint="eastAsia" w:eastAsia="Times New Roman"/>
          <w:kern w:val="0"/>
          <w:sz w:val="24"/>
        </w:rPr>
        <w:t xml:space="preserve"> allowed to use the CRA for a period of 30 days</w:t>
      </w:r>
      <w:r>
        <w:rPr>
          <w:rFonts w:eastAsia="Times New Roman"/>
          <w:kern w:val="0"/>
          <w:sz w:val="24"/>
        </w:rPr>
        <w:t>;</w:t>
      </w:r>
      <w:r>
        <w:rPr>
          <w:rFonts w:hint="eastAsia" w:eastAsia="Times New Roman"/>
          <w:kern w:val="0"/>
          <w:sz w:val="24"/>
        </w:rPr>
        <w:t xml:space="preserve"> </w:t>
      </w:r>
      <w:r>
        <w:rPr>
          <w:rFonts w:eastAsia="Times New Roman"/>
          <w:kern w:val="0"/>
          <w:sz w:val="24"/>
        </w:rPr>
        <w:t xml:space="preserve">at its peak </w:t>
      </w:r>
      <w:r>
        <w:rPr>
          <w:rFonts w:hint="eastAsia" w:eastAsia="Times New Roman"/>
          <w:kern w:val="0"/>
          <w:sz w:val="24"/>
        </w:rPr>
        <w:t xml:space="preserve">a total of nearly RMB 2 trillion in temporary liquidity was released. The move effectively satisfied the </w:t>
      </w:r>
      <w:r>
        <w:rPr>
          <w:rFonts w:eastAsia="Times New Roman"/>
          <w:kern w:val="0"/>
          <w:sz w:val="24"/>
        </w:rPr>
        <w:t xml:space="preserve">demand for </w:t>
      </w:r>
      <w:r>
        <w:rPr>
          <w:rFonts w:hint="eastAsia" w:eastAsia="Times New Roman"/>
          <w:kern w:val="0"/>
          <w:sz w:val="24"/>
        </w:rPr>
        <w:t>cash ahead of the Spring Festival and therefore liquidity in the banking system remained at a reasonable and stable level.</w:t>
      </w:r>
    </w:p>
    <w:p>
      <w:pPr>
        <w:rPr>
          <w:rFonts w:eastAsia="Times New Roman"/>
          <w:kern w:val="0"/>
          <w:sz w:val="24"/>
        </w:rPr>
      </w:pPr>
    </w:p>
    <w:p>
      <w:pPr>
        <w:rPr>
          <w:rFonts w:eastAsia="Times New Roman"/>
          <w:kern w:val="0"/>
          <w:sz w:val="24"/>
        </w:rPr>
      </w:pPr>
      <w:r>
        <w:rPr>
          <w:rFonts w:hint="eastAsia" w:eastAsia="Times New Roman"/>
          <w:b/>
          <w:bCs/>
          <w:kern w:val="0"/>
          <w:sz w:val="24"/>
        </w:rPr>
        <w:t xml:space="preserve">RRRs were lowered for some financial institutions to replace </w:t>
      </w:r>
      <w:r>
        <w:rPr>
          <w:rFonts w:eastAsia="Times New Roman"/>
          <w:b/>
          <w:bCs/>
          <w:kern w:val="0"/>
          <w:sz w:val="24"/>
        </w:rPr>
        <w:t xml:space="preserve">the </w:t>
      </w:r>
      <w:r>
        <w:rPr>
          <w:rFonts w:hint="eastAsia" w:eastAsia="Times New Roman"/>
          <w:b/>
          <w:bCs/>
          <w:kern w:val="0"/>
          <w:sz w:val="24"/>
        </w:rPr>
        <w:t xml:space="preserve">MLF loans, which helped ease the problem of small and micro </w:t>
      </w:r>
      <w:r>
        <w:rPr>
          <w:rFonts w:eastAsia="Times New Roman"/>
          <w:b/>
          <w:bCs/>
          <w:kern w:val="0"/>
          <w:sz w:val="24"/>
        </w:rPr>
        <w:t>businesses</w:t>
      </w:r>
      <w:r>
        <w:rPr>
          <w:rFonts w:hint="eastAsia" w:eastAsia="Times New Roman"/>
          <w:b/>
          <w:bCs/>
          <w:kern w:val="0"/>
          <w:sz w:val="24"/>
        </w:rPr>
        <w:t xml:space="preserve"> finding it </w:t>
      </w:r>
      <w:r>
        <w:rPr>
          <w:rFonts w:eastAsia="Times New Roman"/>
          <w:b/>
          <w:bCs/>
          <w:kern w:val="0"/>
          <w:sz w:val="24"/>
        </w:rPr>
        <w:t xml:space="preserve">difficult </w:t>
      </w:r>
      <w:r>
        <w:rPr>
          <w:rFonts w:hint="eastAsia" w:eastAsia="Times New Roman"/>
          <w:b/>
          <w:bCs/>
          <w:kern w:val="0"/>
          <w:sz w:val="24"/>
        </w:rPr>
        <w:t>and expensive to access financing.</w:t>
      </w:r>
      <w:r>
        <w:rPr>
          <w:rFonts w:hint="eastAsia" w:eastAsia="Times New Roman"/>
          <w:kern w:val="0"/>
          <w:sz w:val="24"/>
        </w:rPr>
        <w:t xml:space="preserve"> The PBC reduced the RRRs of large commercial banks, joint stock commercial banks, city commercial banks, non-county rural commercial banks, and foreign-funded commercial banks by one percentage point on April 25, 2018. Banks with </w:t>
      </w:r>
      <w:r>
        <w:rPr>
          <w:rFonts w:eastAsia="Times New Roman"/>
          <w:kern w:val="0"/>
          <w:sz w:val="24"/>
        </w:rPr>
        <w:t>outstanding</w:t>
      </w:r>
      <w:r>
        <w:rPr>
          <w:rFonts w:hint="eastAsia" w:eastAsia="Times New Roman"/>
          <w:kern w:val="0"/>
          <w:sz w:val="24"/>
        </w:rPr>
        <w:t xml:space="preserve"> MLF loans could then use the newly-released fund</w:t>
      </w:r>
      <w:r>
        <w:rPr>
          <w:rFonts w:eastAsia="Times New Roman"/>
          <w:kern w:val="0"/>
          <w:sz w:val="24"/>
        </w:rPr>
        <w:t>s</w:t>
      </w:r>
      <w:r>
        <w:rPr>
          <w:rFonts w:hint="eastAsia" w:eastAsia="Times New Roman"/>
          <w:kern w:val="0"/>
          <w:sz w:val="24"/>
        </w:rPr>
        <w:t xml:space="preserve"> to repay</w:t>
      </w:r>
      <w:r>
        <w:rPr>
          <w:rFonts w:eastAsia="Times New Roman"/>
          <w:kern w:val="0"/>
          <w:sz w:val="24"/>
        </w:rPr>
        <w:t xml:space="preserve"> on the same day</w:t>
      </w:r>
      <w:r>
        <w:rPr>
          <w:rFonts w:hint="eastAsia" w:eastAsia="Times New Roman"/>
          <w:kern w:val="0"/>
          <w:sz w:val="24"/>
        </w:rPr>
        <w:t xml:space="preserve"> their respective MLF loans on a “first borrow, first repay” basis. As a result, about RMB 900 billion of MLF loans was repaid on that day, and an additional RMB 400 billion was released, most of which went to city commercial banks and non-county rural commercial banks. In general, the reduction of RRRs </w:t>
      </w:r>
      <w:r>
        <w:rPr>
          <w:rFonts w:eastAsia="Times New Roman"/>
          <w:kern w:val="0"/>
          <w:sz w:val="24"/>
        </w:rPr>
        <w:t xml:space="preserve">to replace the </w:t>
      </w:r>
      <w:r>
        <w:rPr>
          <w:rFonts w:hint="eastAsia" w:eastAsia="Times New Roman"/>
          <w:kern w:val="0"/>
          <w:sz w:val="24"/>
        </w:rPr>
        <w:t xml:space="preserve">outstanding MLFs has further reinforced fund stability in the banking system and </w:t>
      </w:r>
      <w:r>
        <w:rPr>
          <w:rFonts w:eastAsia="Times New Roman"/>
          <w:kern w:val="0"/>
          <w:sz w:val="24"/>
        </w:rPr>
        <w:t xml:space="preserve">has </w:t>
      </w:r>
      <w:r>
        <w:rPr>
          <w:rFonts w:hint="eastAsia" w:eastAsia="Times New Roman"/>
          <w:kern w:val="0"/>
          <w:sz w:val="24"/>
        </w:rPr>
        <w:t xml:space="preserve">optimized the liquidity structure, while releasing </w:t>
      </w:r>
      <w:r>
        <w:rPr>
          <w:rFonts w:eastAsia="Times New Roman"/>
          <w:kern w:val="0"/>
          <w:sz w:val="24"/>
        </w:rPr>
        <w:t xml:space="preserve">an </w:t>
      </w:r>
      <w:r>
        <w:rPr>
          <w:rFonts w:hint="eastAsia" w:eastAsia="Times New Roman"/>
          <w:kern w:val="0"/>
          <w:sz w:val="24"/>
        </w:rPr>
        <w:t>appropriate amount of additional fund</w:t>
      </w:r>
      <w:r>
        <w:rPr>
          <w:rFonts w:eastAsia="Times New Roman"/>
          <w:kern w:val="0"/>
          <w:sz w:val="24"/>
        </w:rPr>
        <w:t>s</w:t>
      </w:r>
      <w:r>
        <w:rPr>
          <w:rFonts w:hint="eastAsia" w:eastAsia="Times New Roman"/>
          <w:kern w:val="0"/>
          <w:sz w:val="24"/>
        </w:rPr>
        <w:t xml:space="preserve">. Moreover, it has helped guide financial institutions to strengthen support for small and micro </w:t>
      </w:r>
      <w:r>
        <w:rPr>
          <w:rFonts w:eastAsia="Times New Roman"/>
          <w:kern w:val="0"/>
          <w:sz w:val="24"/>
        </w:rPr>
        <w:t>businesses</w:t>
      </w:r>
      <w:r>
        <w:rPr>
          <w:rFonts w:hint="eastAsia" w:eastAsia="Times New Roman"/>
          <w:kern w:val="0"/>
          <w:sz w:val="24"/>
        </w:rPr>
        <w:t xml:space="preserve">. The PBC will assess implementation </w:t>
      </w:r>
      <w:r>
        <w:rPr>
          <w:rFonts w:eastAsia="Times New Roman"/>
          <w:kern w:val="0"/>
          <w:sz w:val="24"/>
        </w:rPr>
        <w:t>by</w:t>
      </w:r>
      <w:r>
        <w:rPr>
          <w:rFonts w:hint="eastAsia" w:eastAsia="Times New Roman"/>
          <w:kern w:val="0"/>
          <w:sz w:val="24"/>
        </w:rPr>
        <w:t xml:space="preserve"> </w:t>
      </w:r>
      <w:r>
        <w:rPr>
          <w:rFonts w:eastAsia="Times New Roman"/>
          <w:kern w:val="0"/>
          <w:sz w:val="24"/>
        </w:rPr>
        <w:t xml:space="preserve">the </w:t>
      </w:r>
      <w:r>
        <w:rPr>
          <w:rFonts w:hint="eastAsia" w:eastAsia="Times New Roman"/>
          <w:kern w:val="0"/>
          <w:sz w:val="24"/>
        </w:rPr>
        <w:t xml:space="preserve">relevant financial institutions in the macro-prudential assessment (MPA) for the </w:t>
      </w:r>
      <w:r>
        <w:rPr>
          <w:rFonts w:eastAsia="Times New Roman"/>
          <w:kern w:val="0"/>
          <w:sz w:val="24"/>
        </w:rPr>
        <w:t>remaining</w:t>
      </w:r>
      <w:r>
        <w:rPr>
          <w:rFonts w:hint="eastAsia" w:eastAsia="Times New Roman"/>
          <w:kern w:val="0"/>
          <w:sz w:val="24"/>
        </w:rPr>
        <w:t xml:space="preserve"> three quarters of </w:t>
      </w:r>
      <w:r>
        <w:rPr>
          <w:rFonts w:eastAsia="Times New Roman"/>
          <w:kern w:val="0"/>
          <w:sz w:val="24"/>
        </w:rPr>
        <w:t>2018</w:t>
      </w:r>
      <w:r>
        <w:rPr>
          <w:rFonts w:hint="eastAsia" w:eastAsia="Times New Roman"/>
          <w:kern w:val="0"/>
          <w:sz w:val="24"/>
        </w:rPr>
        <w:t>. Nonetheless, as most of the released fund</w:t>
      </w:r>
      <w:r>
        <w:rPr>
          <w:rFonts w:eastAsia="Times New Roman"/>
          <w:kern w:val="0"/>
          <w:sz w:val="24"/>
        </w:rPr>
        <w:t>s</w:t>
      </w:r>
      <w:r>
        <w:rPr>
          <w:rFonts w:hint="eastAsia" w:eastAsia="Times New Roman"/>
          <w:kern w:val="0"/>
          <w:sz w:val="24"/>
        </w:rPr>
        <w:t xml:space="preserve"> w</w:t>
      </w:r>
      <w:r>
        <w:rPr>
          <w:rFonts w:eastAsia="Times New Roman"/>
          <w:kern w:val="0"/>
          <w:sz w:val="24"/>
        </w:rPr>
        <w:t>ere</w:t>
      </w:r>
      <w:r>
        <w:rPr>
          <w:rFonts w:hint="eastAsia" w:eastAsia="Times New Roman"/>
          <w:kern w:val="0"/>
          <w:sz w:val="24"/>
        </w:rPr>
        <w:t xml:space="preserve"> used to repay MLF loans as a substitution </w:t>
      </w:r>
      <w:r>
        <w:rPr>
          <w:rFonts w:eastAsia="Times New Roman"/>
          <w:kern w:val="0"/>
          <w:sz w:val="24"/>
        </w:rPr>
        <w:t xml:space="preserve">for </w:t>
      </w:r>
      <w:r>
        <w:rPr>
          <w:rFonts w:hint="eastAsia" w:eastAsia="Times New Roman"/>
          <w:kern w:val="0"/>
          <w:sz w:val="24"/>
        </w:rPr>
        <w:t xml:space="preserve">the two liquidity adjustment instruments and part of the remaining mitigated the liquidity impact of </w:t>
      </w:r>
      <w:r>
        <w:rPr>
          <w:rFonts w:eastAsia="Times New Roman"/>
          <w:kern w:val="0"/>
          <w:sz w:val="24"/>
        </w:rPr>
        <w:t xml:space="preserve">the </w:t>
      </w:r>
      <w:r>
        <w:rPr>
          <w:rFonts w:hint="eastAsia" w:eastAsia="Times New Roman"/>
          <w:kern w:val="0"/>
          <w:sz w:val="24"/>
        </w:rPr>
        <w:t>corporate tax payment in the lat</w:t>
      </w:r>
      <w:r>
        <w:rPr>
          <w:rFonts w:eastAsia="Times New Roman"/>
          <w:kern w:val="0"/>
          <w:sz w:val="24"/>
        </w:rPr>
        <w:t>t</w:t>
      </w:r>
      <w:r>
        <w:rPr>
          <w:rFonts w:hint="eastAsia" w:eastAsia="Times New Roman"/>
          <w:kern w:val="0"/>
          <w:sz w:val="24"/>
        </w:rPr>
        <w:t xml:space="preserve">er half of April, aggregate liquidity in the banking system has largely </w:t>
      </w:r>
      <w:r>
        <w:rPr>
          <w:rFonts w:eastAsia="Times New Roman"/>
          <w:kern w:val="0"/>
          <w:sz w:val="24"/>
        </w:rPr>
        <w:t xml:space="preserve">remained </w:t>
      </w:r>
      <w:r>
        <w:rPr>
          <w:rFonts w:hint="eastAsia" w:eastAsia="Times New Roman"/>
          <w:kern w:val="0"/>
          <w:sz w:val="24"/>
        </w:rPr>
        <w:t>unchanged and the monetary</w:t>
      </w:r>
      <w:r>
        <w:rPr>
          <w:rFonts w:eastAsia="Times New Roman"/>
          <w:kern w:val="0"/>
          <w:sz w:val="24"/>
        </w:rPr>
        <w:t>-</w:t>
      </w:r>
      <w:r>
        <w:rPr>
          <w:rFonts w:hint="eastAsia" w:eastAsia="Times New Roman"/>
          <w:kern w:val="0"/>
          <w:sz w:val="24"/>
        </w:rPr>
        <w:t xml:space="preserve">policy </w:t>
      </w:r>
      <w:r>
        <w:rPr>
          <w:rFonts w:eastAsia="Times New Roman"/>
          <w:kern w:val="0"/>
          <w:sz w:val="24"/>
        </w:rPr>
        <w:t xml:space="preserve">position is still </w:t>
      </w:r>
      <w:r>
        <w:rPr>
          <w:rFonts w:hint="eastAsia" w:eastAsia="Times New Roman"/>
          <w:kern w:val="0"/>
          <w:sz w:val="24"/>
        </w:rPr>
        <w:t xml:space="preserve">prudent and neutral. </w:t>
      </w:r>
    </w:p>
    <w:p>
      <w:pPr>
        <w:rPr>
          <w:rFonts w:eastAsia="Times New Roman"/>
          <w:kern w:val="0"/>
          <w:sz w:val="24"/>
        </w:rPr>
      </w:pPr>
    </w:p>
    <w:p>
      <w:pPr>
        <w:pStyle w:val="3"/>
        <w:ind w:firstLine="0" w:firstLineChars="0"/>
        <w:rPr>
          <w:rFonts w:ascii="Times New Roman" w:hAnsi="Times New Roman"/>
          <w:sz w:val="24"/>
          <w:szCs w:val="24"/>
        </w:rPr>
      </w:pPr>
      <w:bookmarkStart w:id="70" w:name="_Toc517190509"/>
      <w:r>
        <w:rPr>
          <w:rFonts w:hint="eastAsia" w:ascii="Times New Roman" w:hAnsi="Times New Roman"/>
          <w:sz w:val="24"/>
          <w:szCs w:val="24"/>
        </w:rPr>
        <w:t xml:space="preserve">IV. Further Improving the Framework </w:t>
      </w:r>
      <w:r>
        <w:rPr>
          <w:rFonts w:ascii="Times New Roman" w:hAnsi="Times New Roman"/>
          <w:sz w:val="24"/>
          <w:szCs w:val="24"/>
        </w:rPr>
        <w:t>for</w:t>
      </w:r>
      <w:r>
        <w:rPr>
          <w:rFonts w:hint="eastAsia" w:ascii="Times New Roman" w:hAnsi="Times New Roman"/>
          <w:sz w:val="24"/>
          <w:szCs w:val="24"/>
        </w:rPr>
        <w:t xml:space="preserve"> Macro-Prudential Policies</w:t>
      </w:r>
      <w:bookmarkEnd w:id="70"/>
    </w:p>
    <w:p>
      <w:pPr>
        <w:rPr>
          <w:rFonts w:eastAsia="Times New Roman"/>
          <w:kern w:val="0"/>
          <w:sz w:val="24"/>
        </w:rPr>
      </w:pPr>
      <w:r>
        <w:rPr>
          <w:rFonts w:hint="eastAsia" w:eastAsia="Times New Roman"/>
          <w:b/>
          <w:bCs/>
          <w:kern w:val="0"/>
          <w:sz w:val="24"/>
        </w:rPr>
        <w:t>The MPA was further improved in view of the need for macro regulation.</w:t>
      </w:r>
      <w:r>
        <w:rPr>
          <w:rFonts w:hint="eastAsia" w:eastAsia="Times New Roman"/>
          <w:kern w:val="0"/>
          <w:sz w:val="24"/>
        </w:rPr>
        <w:t xml:space="preserve"> Starting from Q1 2018, the PBC began to include inter</w:t>
      </w:r>
      <w:r>
        <w:rPr>
          <w:rFonts w:eastAsia="Times New Roman"/>
          <w:kern w:val="0"/>
          <w:sz w:val="24"/>
        </w:rPr>
        <w:t>-</w:t>
      </w:r>
      <w:r>
        <w:rPr>
          <w:rFonts w:hint="eastAsia" w:eastAsia="Times New Roman"/>
          <w:kern w:val="0"/>
          <w:sz w:val="24"/>
        </w:rPr>
        <w:t>bank certificates of deposit issued by commercial banks with assets above RMB 500 billion in the MPA indicator of the inter</w:t>
      </w:r>
      <w:r>
        <w:rPr>
          <w:rFonts w:eastAsia="Times New Roman"/>
          <w:kern w:val="0"/>
          <w:sz w:val="24"/>
        </w:rPr>
        <w:t>-</w:t>
      </w:r>
      <w:r>
        <w:rPr>
          <w:rFonts w:hint="eastAsia" w:eastAsia="Times New Roman"/>
          <w:kern w:val="0"/>
          <w:sz w:val="24"/>
        </w:rPr>
        <w:t>bank liability ratio and its assessment, while monitoring th</w:t>
      </w:r>
      <w:r>
        <w:rPr>
          <w:rFonts w:eastAsia="Times New Roman"/>
          <w:kern w:val="0"/>
          <w:sz w:val="24"/>
        </w:rPr>
        <w:t>e inter-bank certificates of deposit</w:t>
      </w:r>
      <w:r>
        <w:rPr>
          <w:rFonts w:hint="eastAsia" w:eastAsia="Times New Roman"/>
          <w:kern w:val="0"/>
          <w:sz w:val="24"/>
        </w:rPr>
        <w:t xml:space="preserve"> issued by commercial banks with assets below RMB 500 billion. Since the MPA was officially implemented in early 2016, the PBC has actively conducted assessment work, guided financial institutions to strengthen self-restraint and self-discipline, promoted the healthy operation of financial institutions and the sustainability of financial services to the real economy, and </w:t>
      </w:r>
      <w:r>
        <w:rPr>
          <w:rFonts w:eastAsia="Times New Roman"/>
          <w:kern w:val="0"/>
          <w:sz w:val="24"/>
        </w:rPr>
        <w:t xml:space="preserve">it has </w:t>
      </w:r>
      <w:r>
        <w:rPr>
          <w:rFonts w:hint="eastAsia" w:eastAsia="Times New Roman"/>
          <w:kern w:val="0"/>
          <w:sz w:val="24"/>
        </w:rPr>
        <w:t>forestalled systemic financial risks.</w:t>
      </w:r>
    </w:p>
    <w:p>
      <w:pPr>
        <w:rPr>
          <w:rFonts w:eastAsia="Times New Roman"/>
          <w:kern w:val="0"/>
          <w:sz w:val="24"/>
        </w:rPr>
      </w:pPr>
    </w:p>
    <w:p>
      <w:pPr>
        <w:pStyle w:val="3"/>
        <w:ind w:firstLine="0" w:firstLineChars="0"/>
        <w:rPr>
          <w:rFonts w:ascii="Times New Roman" w:hAnsi="Times New Roman"/>
          <w:sz w:val="24"/>
          <w:szCs w:val="24"/>
        </w:rPr>
      </w:pPr>
      <w:bookmarkStart w:id="71" w:name="_Toc517190510"/>
      <w:r>
        <w:rPr>
          <w:rFonts w:hint="eastAsia" w:ascii="Times New Roman" w:hAnsi="Times New Roman"/>
          <w:sz w:val="24"/>
          <w:szCs w:val="24"/>
        </w:rPr>
        <w:t>V. Stronger Credit Support to Key Areas and Weak Sectors in the Economy</w:t>
      </w:r>
      <w:bookmarkEnd w:id="71"/>
    </w:p>
    <w:p>
      <w:pPr>
        <w:rPr>
          <w:rFonts w:eastAsiaTheme="minorEastAsia"/>
          <w:kern w:val="0"/>
          <w:sz w:val="24"/>
        </w:rPr>
      </w:pPr>
      <w:r>
        <w:rPr>
          <w:rFonts w:hint="eastAsia" w:eastAsia="Times New Roman"/>
          <w:b/>
          <w:bCs/>
          <w:kern w:val="0"/>
          <w:sz w:val="24"/>
        </w:rPr>
        <w:t>Credit</w:t>
      </w:r>
      <w:r>
        <w:rPr>
          <w:rFonts w:eastAsia="Times New Roman"/>
          <w:b/>
          <w:bCs/>
          <w:kern w:val="0"/>
          <w:sz w:val="24"/>
        </w:rPr>
        <w:t xml:space="preserve"> </w:t>
      </w:r>
      <w:r>
        <w:rPr>
          <w:rFonts w:hint="eastAsia" w:eastAsia="Times New Roman"/>
          <w:b/>
          <w:bCs/>
          <w:kern w:val="0"/>
          <w:sz w:val="24"/>
        </w:rPr>
        <w:t xml:space="preserve">policy </w:t>
      </w:r>
      <w:r>
        <w:rPr>
          <w:rFonts w:eastAsia="Times New Roman"/>
          <w:b/>
          <w:bCs/>
          <w:kern w:val="0"/>
          <w:sz w:val="24"/>
        </w:rPr>
        <w:t>was</w:t>
      </w:r>
      <w:r>
        <w:rPr>
          <w:rFonts w:hint="eastAsia" w:eastAsia="Times New Roman"/>
          <w:b/>
          <w:bCs/>
          <w:kern w:val="0"/>
          <w:sz w:val="24"/>
        </w:rPr>
        <w:t xml:space="preserve"> used to enhance the effectiveness of central-bank lending, central-bank discounts, Pledged Supplementary Lending (PSL), and other policy instruments </w:t>
      </w:r>
      <w:r>
        <w:rPr>
          <w:rFonts w:eastAsia="Times New Roman"/>
          <w:b/>
          <w:bCs/>
          <w:kern w:val="0"/>
          <w:sz w:val="24"/>
        </w:rPr>
        <w:t xml:space="preserve">to guide </w:t>
      </w:r>
      <w:r>
        <w:rPr>
          <w:rFonts w:hint="eastAsia" w:eastAsia="Times New Roman"/>
          <w:b/>
          <w:bCs/>
          <w:kern w:val="0"/>
          <w:sz w:val="24"/>
        </w:rPr>
        <w:t>financial institutions to increase support for key fields and weak links in the economy, such as small and micro businesses, agriculture, rural areas</w:t>
      </w:r>
      <w:r>
        <w:rPr>
          <w:rFonts w:eastAsia="Times New Roman"/>
          <w:b/>
          <w:bCs/>
          <w:kern w:val="0"/>
          <w:sz w:val="24"/>
        </w:rPr>
        <w:t xml:space="preserve"> </w:t>
      </w:r>
      <w:r>
        <w:rPr>
          <w:rFonts w:hint="eastAsia" w:eastAsia="Times New Roman"/>
          <w:b/>
          <w:bCs/>
          <w:kern w:val="0"/>
          <w:sz w:val="24"/>
        </w:rPr>
        <w:t>and rural households, poverty alleviation, renovation of shanty towns, and hydraulic projects.</w:t>
      </w:r>
      <w:r>
        <w:rPr>
          <w:rFonts w:hint="eastAsia" w:eastAsia="Times New Roman"/>
          <w:kern w:val="0"/>
          <w:sz w:val="24"/>
        </w:rPr>
        <w:t xml:space="preserve"> The PBC expanded </w:t>
      </w:r>
      <w:r>
        <w:rPr>
          <w:rFonts w:eastAsia="Times New Roman"/>
          <w:kern w:val="0"/>
          <w:sz w:val="24"/>
        </w:rPr>
        <w:t xml:space="preserve">nationwide </w:t>
      </w:r>
      <w:r>
        <w:rPr>
          <w:rFonts w:hint="eastAsia" w:eastAsia="Times New Roman"/>
          <w:kern w:val="0"/>
          <w:sz w:val="24"/>
        </w:rPr>
        <w:t>the pilot program for credit</w:t>
      </w:r>
      <w:r>
        <w:rPr>
          <w:rFonts w:eastAsia="Times New Roman"/>
          <w:kern w:val="0"/>
          <w:sz w:val="24"/>
        </w:rPr>
        <w:t>-</w:t>
      </w:r>
      <w:r>
        <w:rPr>
          <w:rFonts w:hint="eastAsia" w:eastAsia="Times New Roman"/>
          <w:kern w:val="0"/>
          <w:sz w:val="24"/>
        </w:rPr>
        <w:t>asset pledges and central-bank internal ratings in order to effectively address the problem of insufficient eligible collateral for local small and medium-sized financial institutions when using central-bank lending. At end-March 2018, outstanding central-bank loans for agriculture, small businesses, and poverty alleviation posted RMB 241.0 billion, RMB 92.8 billion, and RMB 147.6 billion</w:t>
      </w:r>
      <w:r>
        <w:rPr>
          <w:rFonts w:eastAsia="Times New Roman"/>
          <w:kern w:val="0"/>
          <w:sz w:val="24"/>
        </w:rPr>
        <w:t>,</w:t>
      </w:r>
      <w:r>
        <w:rPr>
          <w:rFonts w:hint="eastAsia" w:eastAsia="Times New Roman"/>
          <w:kern w:val="0"/>
          <w:sz w:val="24"/>
        </w:rPr>
        <w:t xml:space="preserve"> respectively, and outstanding central-bank discounts stood at RMB 189.4 billion. The PSLs provided to policy and development banks in Q1 posted RMB 303.8 billion, while </w:t>
      </w:r>
      <w:r>
        <w:rPr>
          <w:rFonts w:eastAsia="Times New Roman"/>
          <w:kern w:val="0"/>
          <w:sz w:val="24"/>
        </w:rPr>
        <w:t>the amount</w:t>
      </w:r>
      <w:r>
        <w:rPr>
          <w:rFonts w:hint="eastAsia" w:eastAsia="Times New Roman"/>
          <w:kern w:val="0"/>
          <w:sz w:val="24"/>
        </w:rPr>
        <w:t xml:space="preserve"> outstanding registered RMB 2991.4 billion at end-March. </w:t>
      </w:r>
    </w:p>
    <w:p>
      <w:pPr>
        <w:rPr>
          <w:rFonts w:eastAsiaTheme="minorEastAsia"/>
          <w:kern w:val="0"/>
          <w:sz w:val="24"/>
        </w:rPr>
      </w:pPr>
    </w:p>
    <w:p>
      <w:pPr>
        <w:pStyle w:val="3"/>
        <w:ind w:firstLine="0" w:firstLineChars="0"/>
        <w:rPr>
          <w:rFonts w:ascii="Times New Roman" w:hAnsi="Times New Roman"/>
          <w:sz w:val="24"/>
          <w:szCs w:val="24"/>
        </w:rPr>
      </w:pPr>
      <w:bookmarkStart w:id="72" w:name="_Toc517190511"/>
      <w:r>
        <w:rPr>
          <w:rFonts w:hint="eastAsia" w:ascii="Times New Roman" w:hAnsi="Times New Roman"/>
          <w:sz w:val="24"/>
          <w:szCs w:val="24"/>
        </w:rPr>
        <w:t>VI. Window Guidance and Credit Policies for Structural Guidance</w:t>
      </w:r>
      <w:bookmarkEnd w:id="72"/>
      <w:r>
        <w:rPr>
          <w:rFonts w:hint="eastAsia" w:ascii="Times New Roman" w:hAnsi="Times New Roman"/>
          <w:sz w:val="24"/>
          <w:szCs w:val="24"/>
        </w:rPr>
        <w:t xml:space="preserve"> </w:t>
      </w:r>
    </w:p>
    <w:p>
      <w:pPr>
        <w:rPr>
          <w:rFonts w:eastAsia="Times New Roman"/>
          <w:kern w:val="0"/>
          <w:sz w:val="24"/>
        </w:rPr>
      </w:pPr>
      <w:r>
        <w:rPr>
          <w:rFonts w:hint="eastAsia"/>
          <w:kern w:val="0"/>
          <w:sz w:val="24"/>
        </w:rPr>
        <w:t>In implementing</w:t>
      </w:r>
      <w:r>
        <w:rPr>
          <w:rFonts w:eastAsia="Times New Roman"/>
          <w:kern w:val="0"/>
          <w:sz w:val="24"/>
        </w:rPr>
        <w:t xml:space="preserve"> the overall arrangements of the </w:t>
      </w:r>
      <w:r>
        <w:rPr>
          <w:kern w:val="0"/>
          <w:sz w:val="24"/>
        </w:rPr>
        <w:t>CPC</w:t>
      </w:r>
      <w:r>
        <w:rPr>
          <w:rFonts w:hint="eastAsia"/>
          <w:kern w:val="0"/>
          <w:sz w:val="24"/>
        </w:rPr>
        <w:t xml:space="preserve"> </w:t>
      </w:r>
      <w:r>
        <w:rPr>
          <w:rFonts w:eastAsia="Times New Roman"/>
          <w:kern w:val="0"/>
          <w:sz w:val="24"/>
        </w:rPr>
        <w:t>Central Committee and the State Council,</w:t>
      </w:r>
      <w:r>
        <w:rPr>
          <w:rFonts w:hint="eastAsia"/>
          <w:kern w:val="0"/>
          <w:sz w:val="24"/>
        </w:rPr>
        <w:t xml:space="preserve"> t</w:t>
      </w:r>
      <w:r>
        <w:rPr>
          <w:rFonts w:eastAsia="Times New Roman"/>
          <w:kern w:val="0"/>
          <w:sz w:val="24"/>
        </w:rPr>
        <w:t xml:space="preserve">he PBC combined promotion of supply-side structural reforms and structural adjustments of credit policies </w:t>
      </w:r>
      <w:r>
        <w:rPr>
          <w:rFonts w:hint="eastAsia"/>
          <w:kern w:val="0"/>
          <w:sz w:val="24"/>
        </w:rPr>
        <w:t xml:space="preserve">to </w:t>
      </w:r>
      <w:r>
        <w:rPr>
          <w:rFonts w:eastAsia="Times New Roman"/>
          <w:kern w:val="0"/>
          <w:sz w:val="24"/>
        </w:rPr>
        <w:t xml:space="preserve">promote optimization of the economic structure and the upgrading of the industrial structure, transformation of the energy mix, financial inclusiveness, and the people's livelihood, and </w:t>
      </w:r>
      <w:r>
        <w:rPr>
          <w:rFonts w:hint="eastAsia"/>
          <w:kern w:val="0"/>
          <w:sz w:val="24"/>
        </w:rPr>
        <w:t xml:space="preserve">to </w:t>
      </w:r>
      <w:r>
        <w:rPr>
          <w:rFonts w:eastAsia="Times New Roman"/>
          <w:kern w:val="0"/>
          <w:sz w:val="24"/>
        </w:rPr>
        <w:t xml:space="preserve">guide financial resources to key </w:t>
      </w:r>
      <w:r>
        <w:rPr>
          <w:rFonts w:hint="eastAsia"/>
          <w:kern w:val="0"/>
          <w:sz w:val="24"/>
        </w:rPr>
        <w:t>field</w:t>
      </w:r>
      <w:r>
        <w:rPr>
          <w:rFonts w:eastAsia="Times New Roman"/>
          <w:kern w:val="0"/>
          <w:sz w:val="24"/>
        </w:rPr>
        <w:t xml:space="preserve">s for economic and social development, priority areas, and weak links so as to meet the effective financing needs of the real economy. </w:t>
      </w:r>
    </w:p>
    <w:p>
      <w:pPr>
        <w:rPr>
          <w:rFonts w:eastAsia="Times New Roman"/>
          <w:kern w:val="0"/>
          <w:sz w:val="24"/>
        </w:rPr>
      </w:pPr>
    </w:p>
    <w:p>
      <w:pPr>
        <w:rPr>
          <w:rFonts w:eastAsia="Times New Roman"/>
          <w:kern w:val="0"/>
          <w:sz w:val="24"/>
        </w:rPr>
      </w:pPr>
      <w:r>
        <w:rPr>
          <w:rFonts w:eastAsia="Times New Roman"/>
          <w:b/>
          <w:bCs/>
          <w:kern w:val="0"/>
          <w:sz w:val="24"/>
        </w:rPr>
        <w:t>First,</w:t>
      </w:r>
      <w:r>
        <w:rPr>
          <w:rFonts w:hint="eastAsia"/>
          <w:b/>
          <w:bCs/>
          <w:kern w:val="0"/>
          <w:sz w:val="24"/>
        </w:rPr>
        <w:t xml:space="preserve"> financial services for industrial supply-side structural reform</w:t>
      </w:r>
      <w:r>
        <w:rPr>
          <w:b/>
          <w:bCs/>
          <w:kern w:val="0"/>
          <w:sz w:val="24"/>
        </w:rPr>
        <w:t>s</w:t>
      </w:r>
      <w:r>
        <w:rPr>
          <w:rFonts w:hint="eastAsia"/>
          <w:b/>
          <w:bCs/>
          <w:kern w:val="0"/>
          <w:sz w:val="24"/>
        </w:rPr>
        <w:t xml:space="preserve"> were enhanced.</w:t>
      </w:r>
      <w:r>
        <w:rPr>
          <w:rFonts w:hint="eastAsia"/>
          <w:kern w:val="0"/>
          <w:sz w:val="24"/>
        </w:rPr>
        <w:t xml:space="preserve"> In promoting industrial restructuring and upgrading, the PBC encouraged banking institutions to improve their financial services for advanced and hi-tech manufacturing industries and </w:t>
      </w:r>
      <w:r>
        <w:rPr>
          <w:kern w:val="0"/>
          <w:sz w:val="24"/>
        </w:rPr>
        <w:t xml:space="preserve">to </w:t>
      </w:r>
      <w:r>
        <w:rPr>
          <w:rFonts w:hint="eastAsia"/>
          <w:kern w:val="0"/>
          <w:sz w:val="24"/>
        </w:rPr>
        <w:t>strengthen the interaction</w:t>
      </w:r>
      <w:r>
        <w:rPr>
          <w:kern w:val="0"/>
          <w:sz w:val="24"/>
        </w:rPr>
        <w:t>s</w:t>
      </w:r>
      <w:r>
        <w:rPr>
          <w:rFonts w:hint="eastAsia"/>
          <w:kern w:val="0"/>
          <w:sz w:val="24"/>
        </w:rPr>
        <w:t xml:space="preserve"> between finance and industry. The PBC also guided financial institutions to cut loans </w:t>
      </w:r>
      <w:r>
        <w:rPr>
          <w:kern w:val="0"/>
          <w:sz w:val="24"/>
        </w:rPr>
        <w:t>to industries suffering from</w:t>
      </w:r>
      <w:r>
        <w:rPr>
          <w:rFonts w:hint="eastAsia"/>
          <w:kern w:val="0"/>
          <w:sz w:val="24"/>
        </w:rPr>
        <w:t xml:space="preserve"> overcapacity</w:t>
      </w:r>
      <w:r>
        <w:rPr>
          <w:kern w:val="0"/>
          <w:sz w:val="24"/>
        </w:rPr>
        <w:t>,</w:t>
      </w:r>
      <w:r>
        <w:rPr>
          <w:rFonts w:hint="eastAsia"/>
          <w:kern w:val="0"/>
          <w:sz w:val="24"/>
        </w:rPr>
        <w:t xml:space="preserve"> such as iron, steel and coal, and </w:t>
      </w:r>
      <w:r>
        <w:rPr>
          <w:kern w:val="0"/>
          <w:sz w:val="24"/>
        </w:rPr>
        <w:t xml:space="preserve">to </w:t>
      </w:r>
      <w:r>
        <w:rPr>
          <w:rFonts w:hint="eastAsia"/>
          <w:kern w:val="0"/>
          <w:sz w:val="24"/>
        </w:rPr>
        <w:t xml:space="preserve">deal with corporate debt issues properly </w:t>
      </w:r>
      <w:r>
        <w:rPr>
          <w:kern w:val="0"/>
          <w:sz w:val="24"/>
        </w:rPr>
        <w:t xml:space="preserve">by </w:t>
      </w:r>
      <w:r>
        <w:rPr>
          <w:rFonts w:hint="eastAsia"/>
          <w:kern w:val="0"/>
          <w:sz w:val="24"/>
        </w:rPr>
        <w:t xml:space="preserve">using approaches consistent with market principles and rule of law. </w:t>
      </w:r>
      <w:r>
        <w:rPr>
          <w:rFonts w:hint="eastAsia"/>
          <w:b/>
          <w:bCs/>
          <w:kern w:val="0"/>
          <w:sz w:val="24"/>
        </w:rPr>
        <w:t>Second, efforts were made to improve financial services for modern services.</w:t>
      </w:r>
      <w:r>
        <w:rPr>
          <w:rFonts w:hint="eastAsia"/>
          <w:kern w:val="0"/>
          <w:sz w:val="24"/>
        </w:rPr>
        <w:t xml:space="preserve"> The PBC strengthened financial support for elderly care, health</w:t>
      </w:r>
      <w:r>
        <w:rPr>
          <w:kern w:val="0"/>
          <w:sz w:val="24"/>
        </w:rPr>
        <w:t>,</w:t>
      </w:r>
      <w:r>
        <w:rPr>
          <w:rFonts w:hint="eastAsia"/>
          <w:kern w:val="0"/>
          <w:sz w:val="24"/>
        </w:rPr>
        <w:t xml:space="preserve"> and other new forms of consumption, while continuing to provide financial services to</w:t>
      </w:r>
      <w:r>
        <w:rPr>
          <w:rFonts w:eastAsia="Times New Roman"/>
          <w:kern w:val="0"/>
          <w:sz w:val="24"/>
        </w:rPr>
        <w:t xml:space="preserve"> </w:t>
      </w:r>
      <w:r>
        <w:rPr>
          <w:rFonts w:hint="eastAsia"/>
          <w:kern w:val="0"/>
          <w:sz w:val="24"/>
        </w:rPr>
        <w:t>key</w:t>
      </w:r>
      <w:r>
        <w:rPr>
          <w:rFonts w:eastAsia="Times New Roman"/>
          <w:kern w:val="0"/>
          <w:sz w:val="24"/>
        </w:rPr>
        <w:t xml:space="preserve"> areas and industries</w:t>
      </w:r>
      <w:r>
        <w:rPr>
          <w:rFonts w:hint="eastAsia"/>
          <w:kern w:val="0"/>
          <w:sz w:val="24"/>
        </w:rPr>
        <w:t>, such as infrastructure construction</w:t>
      </w:r>
      <w:r>
        <w:rPr>
          <w:kern w:val="0"/>
          <w:sz w:val="24"/>
        </w:rPr>
        <w:t xml:space="preserve"> and </w:t>
      </w:r>
      <w:r>
        <w:rPr>
          <w:rFonts w:hint="eastAsia"/>
          <w:kern w:val="0"/>
          <w:sz w:val="24"/>
        </w:rPr>
        <w:t xml:space="preserve">projects to rebuild rundown urban areas, </w:t>
      </w:r>
      <w:r>
        <w:rPr>
          <w:rFonts w:eastAsia="Times New Roman"/>
          <w:kern w:val="0"/>
          <w:sz w:val="24"/>
        </w:rPr>
        <w:t xml:space="preserve">underground utility tunnels, railways, logistics, </w:t>
      </w:r>
      <w:r>
        <w:rPr>
          <w:rFonts w:hint="eastAsia"/>
          <w:kern w:val="0"/>
          <w:sz w:val="24"/>
        </w:rPr>
        <w:t xml:space="preserve">and </w:t>
      </w:r>
      <w:r>
        <w:rPr>
          <w:rFonts w:eastAsia="Times New Roman"/>
          <w:kern w:val="0"/>
          <w:sz w:val="24"/>
        </w:rPr>
        <w:t xml:space="preserve">energy. </w:t>
      </w:r>
      <w:r>
        <w:rPr>
          <w:rFonts w:hint="eastAsia"/>
          <w:kern w:val="0"/>
          <w:sz w:val="24"/>
        </w:rPr>
        <w:t xml:space="preserve">It also established and improved the green financial system while vigorously developing green lending. </w:t>
      </w:r>
      <w:r>
        <w:rPr>
          <w:rFonts w:hint="eastAsia"/>
          <w:b/>
          <w:bCs/>
          <w:kern w:val="0"/>
          <w:sz w:val="24"/>
        </w:rPr>
        <w:t xml:space="preserve">Third, </w:t>
      </w:r>
      <w:r>
        <w:rPr>
          <w:rFonts w:eastAsia="Times New Roman"/>
          <w:b/>
          <w:bCs/>
          <w:kern w:val="0"/>
          <w:sz w:val="24"/>
        </w:rPr>
        <w:t>efforts were made to promote coordinated regional development</w:t>
      </w:r>
      <w:r>
        <w:rPr>
          <w:rFonts w:hint="eastAsia"/>
          <w:kern w:val="0"/>
          <w:sz w:val="24"/>
        </w:rPr>
        <w:t xml:space="preserve"> through f</w:t>
      </w:r>
      <w:r>
        <w:rPr>
          <w:rFonts w:eastAsia="Times New Roman"/>
          <w:kern w:val="0"/>
          <w:sz w:val="24"/>
        </w:rPr>
        <w:t>inancial support for major national strategic areas</w:t>
      </w:r>
      <w:r>
        <w:rPr>
          <w:rFonts w:hint="eastAsia"/>
          <w:kern w:val="0"/>
          <w:sz w:val="24"/>
        </w:rPr>
        <w:t xml:space="preserve">, such as </w:t>
      </w:r>
      <w:r>
        <w:rPr>
          <w:rFonts w:eastAsia="Times New Roman"/>
          <w:kern w:val="0"/>
          <w:sz w:val="24"/>
        </w:rPr>
        <w:t>the coordinated development of Beijing, Tianjin, and Hebei, the Belt and Road Initiative</w:t>
      </w:r>
      <w:r>
        <w:rPr>
          <w:rFonts w:hint="eastAsia"/>
          <w:kern w:val="0"/>
          <w:sz w:val="24"/>
        </w:rPr>
        <w:t xml:space="preserve">, </w:t>
      </w:r>
      <w:r>
        <w:rPr>
          <w:rFonts w:eastAsia="Times New Roman"/>
          <w:kern w:val="0"/>
          <w:sz w:val="24"/>
        </w:rPr>
        <w:t>development of the Yangtze Economic Belt,</w:t>
      </w:r>
      <w:r>
        <w:rPr>
          <w:rFonts w:hint="eastAsia"/>
          <w:kern w:val="0"/>
          <w:sz w:val="24"/>
        </w:rPr>
        <w:t xml:space="preserve"> </w:t>
      </w:r>
      <w:r>
        <w:rPr>
          <w:rFonts w:eastAsia="Times New Roman"/>
          <w:kern w:val="0"/>
          <w:sz w:val="24"/>
        </w:rPr>
        <w:t>and the Western China Development Drive.</w:t>
      </w:r>
      <w:r>
        <w:rPr>
          <w:rFonts w:hint="eastAsia"/>
          <w:kern w:val="0"/>
          <w:sz w:val="24"/>
        </w:rPr>
        <w:t xml:space="preserve"> </w:t>
      </w:r>
      <w:r>
        <w:rPr>
          <w:rFonts w:hint="eastAsia"/>
          <w:b/>
          <w:bCs/>
          <w:kern w:val="0"/>
          <w:sz w:val="24"/>
        </w:rPr>
        <w:t xml:space="preserve">Fourth, financial services for </w:t>
      </w:r>
      <w:r>
        <w:rPr>
          <w:b/>
          <w:bCs/>
          <w:kern w:val="0"/>
          <w:sz w:val="24"/>
        </w:rPr>
        <w:t xml:space="preserve">the </w:t>
      </w:r>
      <w:r>
        <w:rPr>
          <w:rFonts w:hint="eastAsia"/>
          <w:b/>
          <w:bCs/>
          <w:kern w:val="0"/>
          <w:sz w:val="24"/>
        </w:rPr>
        <w:t>maritime economy were improved</w:t>
      </w:r>
      <w:r>
        <w:rPr>
          <w:rFonts w:hint="eastAsia"/>
          <w:kern w:val="0"/>
          <w:sz w:val="24"/>
        </w:rPr>
        <w:t xml:space="preserve"> to help shift the growth model of </w:t>
      </w:r>
      <w:r>
        <w:rPr>
          <w:kern w:val="0"/>
          <w:sz w:val="24"/>
        </w:rPr>
        <w:t xml:space="preserve">the </w:t>
      </w:r>
      <w:r>
        <w:rPr>
          <w:rFonts w:hint="eastAsia"/>
          <w:kern w:val="0"/>
          <w:sz w:val="24"/>
        </w:rPr>
        <w:t>maritime economy to one that emphasize</w:t>
      </w:r>
      <w:r>
        <w:rPr>
          <w:kern w:val="0"/>
          <w:sz w:val="24"/>
        </w:rPr>
        <w:t>s</w:t>
      </w:r>
      <w:r>
        <w:rPr>
          <w:rFonts w:hint="eastAsia"/>
          <w:kern w:val="0"/>
          <w:sz w:val="24"/>
        </w:rPr>
        <w:t xml:space="preserve"> quality and efficiency. </w:t>
      </w:r>
      <w:r>
        <w:rPr>
          <w:rFonts w:hint="eastAsia"/>
          <w:b/>
          <w:bCs/>
          <w:kern w:val="0"/>
          <w:sz w:val="24"/>
        </w:rPr>
        <w:t xml:space="preserve">Fifth, intensive efforts were made to provide financial support for targeted poverty reduction and alleviation. </w:t>
      </w:r>
      <w:bookmarkStart w:id="73" w:name="OLE_LINK12"/>
      <w:r>
        <w:rPr>
          <w:rFonts w:eastAsia="Times New Roman"/>
          <w:kern w:val="0"/>
          <w:sz w:val="24"/>
        </w:rPr>
        <w:t>The PBC</w:t>
      </w:r>
      <w:r>
        <w:rPr>
          <w:rFonts w:hint="eastAsia"/>
          <w:kern w:val="0"/>
          <w:sz w:val="24"/>
        </w:rPr>
        <w:t xml:space="preserve"> promoted financial support for </w:t>
      </w:r>
      <w:r>
        <w:rPr>
          <w:rFonts w:eastAsia="Times New Roman"/>
          <w:kern w:val="0"/>
          <w:sz w:val="24"/>
        </w:rPr>
        <w:t>poverty alleviation in deeply impoverished areas</w:t>
      </w:r>
      <w:bookmarkEnd w:id="73"/>
      <w:r>
        <w:rPr>
          <w:rFonts w:eastAsia="Times New Roman"/>
          <w:kern w:val="0"/>
          <w:sz w:val="24"/>
        </w:rPr>
        <w:t xml:space="preserve"> and encouraged financial institutions to </w:t>
      </w:r>
      <w:r>
        <w:rPr>
          <w:rFonts w:hint="eastAsia"/>
          <w:kern w:val="0"/>
          <w:sz w:val="24"/>
        </w:rPr>
        <w:t xml:space="preserve">provide funds and services to </w:t>
      </w:r>
      <w:r>
        <w:rPr>
          <w:rFonts w:eastAsia="Times New Roman"/>
          <w:kern w:val="0"/>
          <w:sz w:val="24"/>
        </w:rPr>
        <w:t xml:space="preserve">these areas. </w:t>
      </w:r>
      <w:r>
        <w:rPr>
          <w:rFonts w:hint="eastAsia"/>
          <w:kern w:val="0"/>
          <w:sz w:val="24"/>
        </w:rPr>
        <w:t xml:space="preserve">It also </w:t>
      </w:r>
      <w:r>
        <w:rPr>
          <w:rFonts w:eastAsia="Times New Roman"/>
          <w:kern w:val="0"/>
          <w:sz w:val="24"/>
        </w:rPr>
        <w:t>strengthened fund-raising</w:t>
      </w:r>
      <w:r>
        <w:rPr>
          <w:rFonts w:hint="eastAsia"/>
          <w:kern w:val="0"/>
          <w:sz w:val="24"/>
        </w:rPr>
        <w:t xml:space="preserve">, related transfer payments, </w:t>
      </w:r>
      <w:r>
        <w:rPr>
          <w:rFonts w:eastAsia="Times New Roman"/>
          <w:kern w:val="0"/>
          <w:sz w:val="24"/>
        </w:rPr>
        <w:t>and management for the relocation of residents in poverty-stricken areas so as to ensure smooth implementation of the relocations</w:t>
      </w:r>
      <w:r>
        <w:rPr>
          <w:rFonts w:hint="eastAsia"/>
          <w:kern w:val="0"/>
          <w:sz w:val="24"/>
        </w:rPr>
        <w:t>. In addition, the PBC took comprehensive measures</w:t>
      </w:r>
      <w:r>
        <w:rPr>
          <w:kern w:val="0"/>
          <w:sz w:val="24"/>
        </w:rPr>
        <w:t>,</w:t>
      </w:r>
      <w:r>
        <w:rPr>
          <w:rFonts w:eastAsia="Times New Roman"/>
          <w:kern w:val="0"/>
          <w:sz w:val="24"/>
        </w:rPr>
        <w:t xml:space="preserve"> </w:t>
      </w:r>
      <w:r>
        <w:rPr>
          <w:rFonts w:hint="eastAsia"/>
          <w:kern w:val="0"/>
          <w:sz w:val="24"/>
        </w:rPr>
        <w:t>including</w:t>
      </w:r>
      <w:r>
        <w:rPr>
          <w:rFonts w:eastAsia="Times New Roman"/>
          <w:kern w:val="0"/>
          <w:sz w:val="24"/>
        </w:rPr>
        <w:t xml:space="preserve"> information-sharing, statistical surveillance,</w:t>
      </w:r>
      <w:r>
        <w:rPr>
          <w:rFonts w:hint="eastAsia"/>
          <w:kern w:val="0"/>
          <w:sz w:val="24"/>
        </w:rPr>
        <w:t xml:space="preserve"> and policy evaluation</w:t>
      </w:r>
      <w:r>
        <w:rPr>
          <w:kern w:val="0"/>
          <w:sz w:val="24"/>
        </w:rPr>
        <w:t>s</w:t>
      </w:r>
      <w:r>
        <w:rPr>
          <w:rFonts w:eastAsia="Times New Roman"/>
          <w:kern w:val="0"/>
          <w:sz w:val="24"/>
        </w:rPr>
        <w:t xml:space="preserve"> of financial measures for targeted poverty reduction</w:t>
      </w:r>
      <w:r>
        <w:rPr>
          <w:rFonts w:hint="eastAsia"/>
          <w:kern w:val="0"/>
          <w:sz w:val="24"/>
        </w:rPr>
        <w:t>,</w:t>
      </w:r>
      <w:r>
        <w:rPr>
          <w:rFonts w:eastAsia="Times New Roman"/>
          <w:kern w:val="0"/>
          <w:sz w:val="24"/>
        </w:rPr>
        <w:t xml:space="preserve"> </w:t>
      </w:r>
      <w:r>
        <w:rPr>
          <w:rFonts w:hint="eastAsia"/>
          <w:kern w:val="0"/>
          <w:sz w:val="24"/>
        </w:rPr>
        <w:t>as well as</w:t>
      </w:r>
      <w:r>
        <w:rPr>
          <w:rFonts w:eastAsia="Times New Roman"/>
          <w:kern w:val="0"/>
          <w:sz w:val="24"/>
        </w:rPr>
        <w:t xml:space="preserve"> targeted measures against</w:t>
      </w:r>
      <w:r>
        <w:rPr>
          <w:rFonts w:hint="eastAsia"/>
          <w:kern w:val="0"/>
          <w:sz w:val="24"/>
        </w:rPr>
        <w:t xml:space="preserve"> official misconduct</w:t>
      </w:r>
      <w:r>
        <w:rPr>
          <w:rFonts w:eastAsia="Times New Roman"/>
          <w:kern w:val="0"/>
          <w:sz w:val="24"/>
        </w:rPr>
        <w:t xml:space="preserve"> in the field of poverty alleviation,</w:t>
      </w:r>
      <w:r>
        <w:rPr>
          <w:rFonts w:hint="eastAsia"/>
          <w:kern w:val="0"/>
          <w:sz w:val="24"/>
        </w:rPr>
        <w:t xml:space="preserve"> to</w:t>
      </w:r>
      <w:r>
        <w:rPr>
          <w:rFonts w:eastAsia="Times New Roman"/>
          <w:kern w:val="0"/>
          <w:sz w:val="24"/>
        </w:rPr>
        <w:t xml:space="preserve"> improve the </w:t>
      </w:r>
      <w:r>
        <w:rPr>
          <w:rFonts w:hint="eastAsia"/>
          <w:kern w:val="0"/>
          <w:sz w:val="24"/>
        </w:rPr>
        <w:t>precision and efficiency of targeted poverty alleviation</w:t>
      </w:r>
      <w:r>
        <w:rPr>
          <w:rFonts w:eastAsia="Times New Roman"/>
          <w:kern w:val="0"/>
          <w:sz w:val="24"/>
        </w:rPr>
        <w:t>.</w:t>
      </w:r>
      <w:r>
        <w:rPr>
          <w:rFonts w:hint="eastAsia"/>
          <w:kern w:val="0"/>
          <w:sz w:val="24"/>
        </w:rPr>
        <w:t xml:space="preserve"> </w:t>
      </w:r>
      <w:r>
        <w:rPr>
          <w:rFonts w:hint="eastAsia"/>
          <w:b/>
          <w:bCs/>
          <w:kern w:val="0"/>
          <w:sz w:val="24"/>
        </w:rPr>
        <w:t xml:space="preserve">Sixth, consistent efforts were made to improve </w:t>
      </w:r>
      <w:r>
        <w:rPr>
          <w:rFonts w:eastAsia="Times New Roman"/>
          <w:b/>
          <w:bCs/>
          <w:kern w:val="0"/>
          <w:sz w:val="24"/>
        </w:rPr>
        <w:t xml:space="preserve">rural financial services. </w:t>
      </w:r>
      <w:r>
        <w:rPr>
          <w:rFonts w:hint="eastAsia"/>
          <w:kern w:val="0"/>
          <w:sz w:val="24"/>
        </w:rPr>
        <w:t xml:space="preserve">The PBC conducted research on </w:t>
      </w:r>
      <w:r>
        <w:rPr>
          <w:kern w:val="0"/>
          <w:sz w:val="24"/>
        </w:rPr>
        <w:t xml:space="preserve">a </w:t>
      </w:r>
      <w:r>
        <w:rPr>
          <w:rFonts w:hint="eastAsia"/>
          <w:kern w:val="0"/>
          <w:sz w:val="24"/>
        </w:rPr>
        <w:t xml:space="preserve">rural revitalization strategy to explore innovative financial products and services </w:t>
      </w:r>
      <w:r>
        <w:rPr>
          <w:kern w:val="0"/>
          <w:sz w:val="24"/>
        </w:rPr>
        <w:t>for</w:t>
      </w:r>
      <w:r>
        <w:rPr>
          <w:rFonts w:hint="eastAsia"/>
          <w:kern w:val="0"/>
          <w:sz w:val="24"/>
        </w:rPr>
        <w:t xml:space="preserve"> </w:t>
      </w:r>
      <w:r>
        <w:rPr>
          <w:kern w:val="0"/>
          <w:sz w:val="24"/>
        </w:rPr>
        <w:t xml:space="preserve">the </w:t>
      </w:r>
      <w:r>
        <w:rPr>
          <w:rFonts w:hint="eastAsia"/>
          <w:kern w:val="0"/>
          <w:sz w:val="24"/>
        </w:rPr>
        <w:t>rural areas. Meanwhile, it supported financial institutions</w:t>
      </w:r>
      <w:r>
        <w:rPr>
          <w:rFonts w:eastAsia="Times New Roman"/>
          <w:kern w:val="0"/>
          <w:sz w:val="24"/>
        </w:rPr>
        <w:t xml:space="preserve"> to make </w:t>
      </w:r>
      <w:r>
        <w:rPr>
          <w:rFonts w:hint="eastAsia"/>
          <w:kern w:val="0"/>
          <w:sz w:val="24"/>
        </w:rPr>
        <w:t>further progress in the pilot program of</w:t>
      </w:r>
      <w:r>
        <w:rPr>
          <w:rFonts w:eastAsia="Times New Roman"/>
          <w:kern w:val="0"/>
          <w:sz w:val="24"/>
        </w:rPr>
        <w:t xml:space="preserve"> collateralized loans with operational rights for contracted farming land and rural housing property</w:t>
      </w:r>
      <w:r>
        <w:rPr>
          <w:rFonts w:hint="eastAsia"/>
          <w:kern w:val="0"/>
          <w:sz w:val="24"/>
        </w:rPr>
        <w:t>, while improving the supporting mechanism</w:t>
      </w:r>
      <w:r>
        <w:rPr>
          <w:kern w:val="0"/>
          <w:sz w:val="24"/>
        </w:rPr>
        <w:t>s</w:t>
      </w:r>
      <w:r>
        <w:rPr>
          <w:rFonts w:hint="eastAsia"/>
          <w:kern w:val="0"/>
          <w:sz w:val="24"/>
        </w:rPr>
        <w:t xml:space="preserve">. </w:t>
      </w:r>
      <w:r>
        <w:rPr>
          <w:rFonts w:hint="eastAsia"/>
          <w:b/>
          <w:bCs/>
          <w:kern w:val="0"/>
          <w:sz w:val="24"/>
        </w:rPr>
        <w:t xml:space="preserve">Seventh, </w:t>
      </w:r>
      <w:r>
        <w:rPr>
          <w:rFonts w:eastAsia="Times New Roman"/>
          <w:b/>
          <w:bCs/>
          <w:kern w:val="0"/>
          <w:sz w:val="24"/>
        </w:rPr>
        <w:t>financial support was enhanced for the development of small and micro businesses.</w:t>
      </w:r>
      <w:r>
        <w:rPr>
          <w:rFonts w:hint="eastAsia"/>
          <w:b/>
          <w:bCs/>
          <w:kern w:val="0"/>
          <w:sz w:val="24"/>
        </w:rPr>
        <w:t xml:space="preserve"> </w:t>
      </w:r>
      <w:r>
        <w:rPr>
          <w:rFonts w:hint="eastAsia"/>
          <w:kern w:val="0"/>
          <w:sz w:val="24"/>
        </w:rPr>
        <w:t xml:space="preserve">The PBC intensified efforts to improve </w:t>
      </w:r>
      <w:r>
        <w:rPr>
          <w:kern w:val="0"/>
          <w:sz w:val="24"/>
        </w:rPr>
        <w:t xml:space="preserve">the </w:t>
      </w:r>
      <w:r>
        <w:rPr>
          <w:rFonts w:hint="eastAsia"/>
          <w:kern w:val="0"/>
          <w:sz w:val="24"/>
        </w:rPr>
        <w:t xml:space="preserve">financing environment for </w:t>
      </w:r>
      <w:r>
        <w:rPr>
          <w:rFonts w:eastAsia="Times New Roman"/>
          <w:kern w:val="0"/>
          <w:sz w:val="24"/>
        </w:rPr>
        <w:t>small and micro businesses</w:t>
      </w:r>
      <w:r>
        <w:rPr>
          <w:rFonts w:hint="eastAsia"/>
          <w:kern w:val="0"/>
          <w:sz w:val="24"/>
        </w:rPr>
        <w:t xml:space="preserve"> and </w:t>
      </w:r>
      <w:r>
        <w:rPr>
          <w:kern w:val="0"/>
          <w:sz w:val="24"/>
        </w:rPr>
        <w:t xml:space="preserve">to </w:t>
      </w:r>
      <w:r>
        <w:rPr>
          <w:rFonts w:hint="eastAsia"/>
          <w:kern w:val="0"/>
          <w:sz w:val="24"/>
        </w:rPr>
        <w:t xml:space="preserve">broaden </w:t>
      </w:r>
      <w:r>
        <w:rPr>
          <w:kern w:val="0"/>
          <w:sz w:val="24"/>
        </w:rPr>
        <w:t xml:space="preserve">their </w:t>
      </w:r>
      <w:r>
        <w:rPr>
          <w:rFonts w:hint="eastAsia"/>
          <w:kern w:val="0"/>
          <w:sz w:val="24"/>
        </w:rPr>
        <w:t>financing channels in ways</w:t>
      </w:r>
      <w:r>
        <w:rPr>
          <w:kern w:val="0"/>
          <w:sz w:val="24"/>
        </w:rPr>
        <w:t xml:space="preserve"> such as</w:t>
      </w:r>
      <w:r>
        <w:rPr>
          <w:rFonts w:hint="eastAsia"/>
          <w:kern w:val="0"/>
          <w:sz w:val="24"/>
        </w:rPr>
        <w:t xml:space="preserve"> expanding the </w:t>
      </w:r>
      <w:r>
        <w:rPr>
          <w:kern w:val="0"/>
          <w:sz w:val="24"/>
        </w:rPr>
        <w:t xml:space="preserve">role of the </w:t>
      </w:r>
      <w:r>
        <w:rPr>
          <w:rFonts w:hint="eastAsia"/>
          <w:kern w:val="0"/>
          <w:sz w:val="24"/>
        </w:rPr>
        <w:t xml:space="preserve">bond market. </w:t>
      </w:r>
      <w:r>
        <w:rPr>
          <w:rFonts w:hint="eastAsia"/>
          <w:b/>
          <w:bCs/>
          <w:kern w:val="0"/>
          <w:sz w:val="24"/>
        </w:rPr>
        <w:t xml:space="preserve">Eighth, </w:t>
      </w:r>
      <w:r>
        <w:rPr>
          <w:rFonts w:eastAsia="Times New Roman"/>
          <w:b/>
          <w:bCs/>
          <w:kern w:val="0"/>
          <w:sz w:val="24"/>
        </w:rPr>
        <w:t xml:space="preserve">efforts were </w:t>
      </w:r>
      <w:r>
        <w:rPr>
          <w:rFonts w:hint="eastAsia"/>
          <w:b/>
          <w:bCs/>
          <w:kern w:val="0"/>
          <w:sz w:val="24"/>
        </w:rPr>
        <w:t>strengthened</w:t>
      </w:r>
      <w:r>
        <w:rPr>
          <w:rFonts w:eastAsia="Times New Roman"/>
          <w:b/>
          <w:bCs/>
          <w:kern w:val="0"/>
          <w:sz w:val="24"/>
        </w:rPr>
        <w:t xml:space="preserve"> to promote implementation of guaranteed loans for start-ups</w:t>
      </w:r>
      <w:r>
        <w:rPr>
          <w:rFonts w:hint="eastAsia"/>
          <w:kern w:val="0"/>
          <w:sz w:val="24"/>
        </w:rPr>
        <w:t xml:space="preserve"> by broadening the scope of loan borrower</w:t>
      </w:r>
      <w:r>
        <w:rPr>
          <w:kern w:val="0"/>
          <w:sz w:val="24"/>
        </w:rPr>
        <w:t>s</w:t>
      </w:r>
      <w:r>
        <w:rPr>
          <w:rFonts w:hint="eastAsia"/>
          <w:kern w:val="0"/>
          <w:sz w:val="24"/>
        </w:rPr>
        <w:t xml:space="preserve">, relaxing the application criteria, lowering </w:t>
      </w:r>
      <w:r>
        <w:rPr>
          <w:kern w:val="0"/>
          <w:sz w:val="24"/>
        </w:rPr>
        <w:t xml:space="preserve">the </w:t>
      </w:r>
      <w:r>
        <w:rPr>
          <w:rFonts w:hint="eastAsia"/>
          <w:kern w:val="0"/>
          <w:sz w:val="24"/>
        </w:rPr>
        <w:t xml:space="preserve">requirements for collateral and </w:t>
      </w:r>
      <w:r>
        <w:rPr>
          <w:kern w:val="0"/>
          <w:sz w:val="24"/>
        </w:rPr>
        <w:t xml:space="preserve">interest </w:t>
      </w:r>
      <w:r>
        <w:rPr>
          <w:rFonts w:hint="eastAsia"/>
          <w:kern w:val="0"/>
          <w:sz w:val="24"/>
        </w:rPr>
        <w:t>subsid</w:t>
      </w:r>
      <w:r>
        <w:rPr>
          <w:kern w:val="0"/>
          <w:sz w:val="24"/>
        </w:rPr>
        <w:t>ies</w:t>
      </w:r>
      <w:r>
        <w:rPr>
          <w:rFonts w:hint="eastAsia"/>
          <w:kern w:val="0"/>
          <w:sz w:val="24"/>
        </w:rPr>
        <w:t xml:space="preserve">, and </w:t>
      </w:r>
      <w:r>
        <w:rPr>
          <w:kern w:val="0"/>
          <w:sz w:val="24"/>
        </w:rPr>
        <w:t>providing</w:t>
      </w:r>
      <w:r>
        <w:rPr>
          <w:rFonts w:hint="eastAsia"/>
          <w:kern w:val="0"/>
          <w:sz w:val="24"/>
        </w:rPr>
        <w:t xml:space="preserve"> support </w:t>
      </w:r>
      <w:r>
        <w:rPr>
          <w:kern w:val="0"/>
          <w:sz w:val="24"/>
        </w:rPr>
        <w:t xml:space="preserve">to </w:t>
      </w:r>
      <w:r>
        <w:rPr>
          <w:rFonts w:hint="eastAsia"/>
          <w:kern w:val="0"/>
          <w:sz w:val="24"/>
        </w:rPr>
        <w:t xml:space="preserve">people having difficulty </w:t>
      </w:r>
      <w:r>
        <w:rPr>
          <w:kern w:val="0"/>
          <w:sz w:val="24"/>
        </w:rPr>
        <w:t>in starting</w:t>
      </w:r>
      <w:r>
        <w:rPr>
          <w:rFonts w:hint="eastAsia"/>
          <w:kern w:val="0"/>
          <w:sz w:val="24"/>
        </w:rPr>
        <w:t xml:space="preserve"> a business or find</w:t>
      </w:r>
      <w:r>
        <w:rPr>
          <w:kern w:val="0"/>
          <w:sz w:val="24"/>
        </w:rPr>
        <w:t>ing</w:t>
      </w:r>
      <w:r>
        <w:rPr>
          <w:rFonts w:hint="eastAsia"/>
          <w:kern w:val="0"/>
          <w:sz w:val="24"/>
        </w:rPr>
        <w:t xml:space="preserve"> a job. </w:t>
      </w:r>
      <w:r>
        <w:rPr>
          <w:rFonts w:hint="eastAsia"/>
          <w:b/>
          <w:bCs/>
          <w:kern w:val="0"/>
          <w:sz w:val="24"/>
        </w:rPr>
        <w:t>Ninth, efforts were made to raise the professional level of financial services for culture.</w:t>
      </w:r>
      <w:r>
        <w:rPr>
          <w:rFonts w:hint="eastAsia"/>
          <w:kern w:val="0"/>
          <w:sz w:val="24"/>
        </w:rPr>
        <w:t xml:space="preserve"> The PBC improved the supporting mechanism</w:t>
      </w:r>
      <w:r>
        <w:rPr>
          <w:kern w:val="0"/>
          <w:sz w:val="24"/>
        </w:rPr>
        <w:t>s</w:t>
      </w:r>
      <w:r>
        <w:rPr>
          <w:rFonts w:hint="eastAsia"/>
          <w:kern w:val="0"/>
          <w:sz w:val="24"/>
        </w:rPr>
        <w:t xml:space="preserve"> for intellectual property pledge</w:t>
      </w:r>
      <w:r>
        <w:rPr>
          <w:kern w:val="0"/>
          <w:sz w:val="24"/>
        </w:rPr>
        <w:t>d</w:t>
      </w:r>
      <w:r>
        <w:rPr>
          <w:rFonts w:hint="eastAsia"/>
          <w:kern w:val="0"/>
          <w:sz w:val="24"/>
        </w:rPr>
        <w:t xml:space="preserve"> financing and continued to improve the bond market</w:t>
      </w:r>
      <w:r>
        <w:rPr>
          <w:kern w:val="0"/>
          <w:sz w:val="24"/>
        </w:rPr>
        <w:t>,</w:t>
      </w:r>
      <w:r>
        <w:rPr>
          <w:rFonts w:hint="eastAsia"/>
          <w:kern w:val="0"/>
          <w:sz w:val="24"/>
        </w:rPr>
        <w:t xml:space="preserve"> while</w:t>
      </w:r>
      <w:r>
        <w:rPr>
          <w:kern w:val="0"/>
          <w:sz w:val="24"/>
        </w:rPr>
        <w:t xml:space="preserve"> also</w:t>
      </w:r>
      <w:r>
        <w:rPr>
          <w:rFonts w:hint="eastAsia"/>
          <w:kern w:val="0"/>
          <w:sz w:val="24"/>
        </w:rPr>
        <w:t xml:space="preserve"> encouraging cultural enterprises to expand their financing channels via non-financial corporate debt financing instruments. </w:t>
      </w:r>
      <w:r>
        <w:rPr>
          <w:rFonts w:hint="eastAsia"/>
          <w:b/>
          <w:bCs/>
          <w:kern w:val="0"/>
          <w:sz w:val="24"/>
        </w:rPr>
        <w:t xml:space="preserve">Tenth, full support </w:t>
      </w:r>
      <w:r>
        <w:rPr>
          <w:b/>
          <w:bCs/>
          <w:kern w:val="0"/>
          <w:sz w:val="24"/>
        </w:rPr>
        <w:t>was</w:t>
      </w:r>
      <w:r>
        <w:rPr>
          <w:rFonts w:hint="eastAsia"/>
          <w:b/>
          <w:bCs/>
          <w:kern w:val="0"/>
          <w:sz w:val="24"/>
        </w:rPr>
        <w:t xml:space="preserve"> given to </w:t>
      </w:r>
      <w:r>
        <w:rPr>
          <w:rFonts w:eastAsia="Times New Roman"/>
          <w:b/>
          <w:bCs/>
          <w:kern w:val="0"/>
          <w:sz w:val="24"/>
        </w:rPr>
        <w:t>improv</w:t>
      </w:r>
      <w:r>
        <w:rPr>
          <w:rFonts w:hint="eastAsia"/>
          <w:b/>
          <w:bCs/>
          <w:kern w:val="0"/>
          <w:sz w:val="24"/>
        </w:rPr>
        <w:t>e</w:t>
      </w:r>
      <w:r>
        <w:rPr>
          <w:rFonts w:eastAsia="Times New Roman"/>
          <w:b/>
          <w:bCs/>
          <w:kern w:val="0"/>
          <w:sz w:val="24"/>
        </w:rPr>
        <w:t xml:space="preserve"> financial services for weak links and vulnerable groups, such as students from impoverished families, migrant workers, and ethnic minority regions.</w:t>
      </w:r>
      <w:r>
        <w:rPr>
          <w:rFonts w:eastAsia="Times New Roman"/>
          <w:kern w:val="0"/>
          <w:sz w:val="24"/>
        </w:rPr>
        <w:t xml:space="preserve"> </w:t>
      </w:r>
      <w:r>
        <w:rPr>
          <w:rFonts w:hint="eastAsia"/>
          <w:kern w:val="0"/>
          <w:sz w:val="24"/>
        </w:rPr>
        <w:t xml:space="preserve">Furthermore, </w:t>
      </w:r>
      <w:r>
        <w:rPr>
          <w:rFonts w:eastAsia="Times New Roman"/>
          <w:kern w:val="0"/>
          <w:sz w:val="24"/>
        </w:rPr>
        <w:t>efforts were made to improve the credit-asset securitization program for the development of the asset-securitization market.</w:t>
      </w:r>
    </w:p>
    <w:p>
      <w:pPr>
        <w:rPr>
          <w:kern w:val="0"/>
          <w:sz w:val="24"/>
        </w:rPr>
      </w:pPr>
    </w:p>
    <w:p>
      <w:pPr>
        <w:pStyle w:val="3"/>
        <w:ind w:firstLine="0" w:firstLineChars="0"/>
        <w:rPr>
          <w:rFonts w:ascii="Times New Roman" w:hAnsi="Times New Roman"/>
          <w:sz w:val="24"/>
          <w:szCs w:val="24"/>
        </w:rPr>
      </w:pPr>
      <w:bookmarkStart w:id="74" w:name="_Toc14092"/>
      <w:bookmarkStart w:id="75" w:name="_Toc517190512"/>
      <w:bookmarkStart w:id="76" w:name="_Toc441161780"/>
      <w:bookmarkStart w:id="77" w:name="_Toc426729154"/>
      <w:r>
        <w:rPr>
          <w:rFonts w:hint="eastAsia" w:ascii="Times New Roman" w:hAnsi="Times New Roman"/>
          <w:sz w:val="24"/>
          <w:szCs w:val="24"/>
        </w:rPr>
        <w:t xml:space="preserve">VII. </w:t>
      </w:r>
      <w:r>
        <w:rPr>
          <w:rFonts w:ascii="Times New Roman" w:hAnsi="Times New Roman"/>
          <w:sz w:val="24"/>
          <w:szCs w:val="24"/>
        </w:rPr>
        <w:t xml:space="preserve">Improving the Market-based RMB Exchange-Rate </w:t>
      </w:r>
      <w:bookmarkEnd w:id="74"/>
      <w:r>
        <w:rPr>
          <w:rFonts w:ascii="Times New Roman" w:hAnsi="Times New Roman"/>
          <w:sz w:val="24"/>
          <w:szCs w:val="24"/>
        </w:rPr>
        <w:t>Regime</w:t>
      </w:r>
      <w:bookmarkEnd w:id="75"/>
    </w:p>
    <w:p>
      <w:pPr>
        <w:rPr>
          <w:rFonts w:eastAsia="Times New Roman"/>
          <w:color w:val="000000"/>
          <w:sz w:val="24"/>
        </w:rPr>
      </w:pPr>
      <w:r>
        <w:rPr>
          <w:rFonts w:eastAsia="Times New Roman"/>
          <w:b/>
          <w:bCs/>
          <w:color w:val="000000"/>
          <w:sz w:val="24"/>
        </w:rPr>
        <w:t xml:space="preserve">Since 2018, </w:t>
      </w:r>
      <w:r>
        <w:rPr>
          <w:rFonts w:hint="eastAsia"/>
          <w:b/>
          <w:bCs/>
          <w:color w:val="000000"/>
          <w:sz w:val="24"/>
        </w:rPr>
        <w:t>with</w:t>
      </w:r>
      <w:r>
        <w:rPr>
          <w:rFonts w:eastAsia="Times New Roman"/>
          <w:b/>
          <w:bCs/>
          <w:color w:val="000000"/>
          <w:sz w:val="24"/>
        </w:rPr>
        <w:t xml:space="preserve"> cross-border capital flows and demand and supply on the foreign-exchange market </w:t>
      </w:r>
      <w:r>
        <w:rPr>
          <w:rFonts w:hint="eastAsia"/>
          <w:b/>
          <w:bCs/>
          <w:color w:val="000000"/>
          <w:sz w:val="24"/>
        </w:rPr>
        <w:t xml:space="preserve">basically </w:t>
      </w:r>
      <w:r>
        <w:rPr>
          <w:rFonts w:eastAsia="Times New Roman"/>
          <w:b/>
          <w:bCs/>
          <w:color w:val="000000"/>
          <w:sz w:val="24"/>
        </w:rPr>
        <w:t xml:space="preserve">balanced and exchange-rate expectations stable, the counter-cyclical macro-prudential management </w:t>
      </w:r>
      <w:r>
        <w:rPr>
          <w:rFonts w:hint="eastAsia"/>
          <w:b/>
          <w:bCs/>
          <w:color w:val="000000"/>
          <w:sz w:val="24"/>
        </w:rPr>
        <w:t xml:space="preserve">policies </w:t>
      </w:r>
      <w:r>
        <w:rPr>
          <w:rFonts w:eastAsia="Times New Roman"/>
          <w:b/>
          <w:bCs/>
          <w:color w:val="000000"/>
          <w:sz w:val="24"/>
        </w:rPr>
        <w:t xml:space="preserve">of capital flows introduced earlier </w:t>
      </w:r>
      <w:r>
        <w:rPr>
          <w:rFonts w:hint="eastAsia"/>
          <w:b/>
          <w:bCs/>
          <w:color w:val="000000"/>
          <w:sz w:val="24"/>
        </w:rPr>
        <w:t xml:space="preserve">all </w:t>
      </w:r>
      <w:r>
        <w:rPr>
          <w:rFonts w:eastAsia="Times New Roman"/>
          <w:b/>
          <w:bCs/>
          <w:color w:val="000000"/>
          <w:sz w:val="24"/>
        </w:rPr>
        <w:t>returned to neutral level</w:t>
      </w:r>
      <w:r>
        <w:rPr>
          <w:rFonts w:hint="eastAsia"/>
          <w:b/>
          <w:bCs/>
          <w:color w:val="000000"/>
          <w:sz w:val="24"/>
        </w:rPr>
        <w:t>s</w:t>
      </w:r>
      <w:r>
        <w:rPr>
          <w:rFonts w:eastAsia="Times New Roman"/>
          <w:b/>
          <w:bCs/>
          <w:color w:val="000000"/>
          <w:sz w:val="24"/>
        </w:rPr>
        <w:t>.</w:t>
      </w:r>
      <w:r>
        <w:rPr>
          <w:rFonts w:eastAsia="Times New Roman"/>
          <w:color w:val="000000"/>
          <w:sz w:val="24"/>
        </w:rPr>
        <w:t xml:space="preserve"> The </w:t>
      </w:r>
      <w:r>
        <w:rPr>
          <w:rFonts w:hint="eastAsia"/>
          <w:color w:val="000000"/>
          <w:sz w:val="24"/>
        </w:rPr>
        <w:t>RMB</w:t>
      </w:r>
      <w:r>
        <w:rPr>
          <w:rFonts w:eastAsia="Times New Roman"/>
          <w:color w:val="000000"/>
          <w:sz w:val="24"/>
        </w:rPr>
        <w:t xml:space="preserve"> exchange rate </w:t>
      </w:r>
      <w:r>
        <w:rPr>
          <w:rFonts w:hint="eastAsia"/>
          <w:color w:val="000000"/>
          <w:sz w:val="24"/>
        </w:rPr>
        <w:t>experienced</w:t>
      </w:r>
      <w:r>
        <w:rPr>
          <w:rFonts w:eastAsia="Times New Roman"/>
          <w:color w:val="000000"/>
          <w:sz w:val="24"/>
        </w:rPr>
        <w:t xml:space="preserve"> two-way fluctuations </w:t>
      </w:r>
      <w:r>
        <w:rPr>
          <w:rFonts w:hint="eastAsia"/>
          <w:color w:val="000000"/>
          <w:sz w:val="24"/>
        </w:rPr>
        <w:t xml:space="preserve">based on market supply and demand </w:t>
      </w:r>
      <w:r>
        <w:rPr>
          <w:rFonts w:eastAsia="Times New Roman"/>
          <w:color w:val="000000"/>
          <w:sz w:val="24"/>
        </w:rPr>
        <w:t xml:space="preserve">with </w:t>
      </w:r>
      <w:r>
        <w:rPr>
          <w:rFonts w:hint="eastAsia"/>
          <w:color w:val="000000"/>
          <w:sz w:val="24"/>
        </w:rPr>
        <w:t>greater</w:t>
      </w:r>
      <w:r>
        <w:rPr>
          <w:rFonts w:eastAsia="Times New Roman"/>
          <w:color w:val="000000"/>
          <w:sz w:val="24"/>
        </w:rPr>
        <w:t xml:space="preserve"> flexibility </w:t>
      </w:r>
      <w:r>
        <w:rPr>
          <w:rFonts w:hint="eastAsia"/>
          <w:color w:val="000000"/>
          <w:sz w:val="24"/>
        </w:rPr>
        <w:t xml:space="preserve">and </w:t>
      </w:r>
      <w:r>
        <w:rPr>
          <w:color w:val="000000"/>
          <w:sz w:val="24"/>
        </w:rPr>
        <w:t xml:space="preserve">it </w:t>
      </w:r>
      <w:r>
        <w:rPr>
          <w:rFonts w:hint="eastAsia"/>
          <w:color w:val="000000"/>
          <w:sz w:val="24"/>
        </w:rPr>
        <w:t>continued to be generally</w:t>
      </w:r>
      <w:r>
        <w:rPr>
          <w:rFonts w:eastAsia="Times New Roman"/>
          <w:color w:val="000000"/>
          <w:sz w:val="24"/>
        </w:rPr>
        <w:t xml:space="preserve"> stable at a</w:t>
      </w:r>
      <w:r>
        <w:rPr>
          <w:rFonts w:hint="eastAsia"/>
          <w:color w:val="000000"/>
          <w:sz w:val="24"/>
        </w:rPr>
        <w:t>n</w:t>
      </w:r>
      <w:r>
        <w:rPr>
          <w:rFonts w:eastAsia="Times New Roman"/>
          <w:color w:val="000000"/>
          <w:sz w:val="24"/>
        </w:rPr>
        <w:t xml:space="preserve"> adaptive and equilibrium level</w:t>
      </w:r>
      <w:r>
        <w:rPr>
          <w:rFonts w:hint="eastAsia"/>
          <w:color w:val="000000"/>
          <w:sz w:val="24"/>
        </w:rPr>
        <w:t>. In Q1</w:t>
      </w:r>
      <w:r>
        <w:rPr>
          <w:color w:val="000000"/>
          <w:sz w:val="24"/>
        </w:rPr>
        <w:t xml:space="preserve">, </w:t>
      </w:r>
      <w:r>
        <w:rPr>
          <w:rFonts w:eastAsia="Times New Roman"/>
          <w:color w:val="000000"/>
          <w:sz w:val="24"/>
        </w:rPr>
        <w:t xml:space="preserve">the highest and lowest central parities of the RMB against the USD were RMB 6.2785 and RMB 6.5207 per dollar, respectively. During the 59 trading days, the RMB appreciated on 39 days and depreciated on 20 days. The biggest intra-day appreciation and depreciation were 0.60 percent (377 bps) and 0.59 percent (372 bps), respectively. </w:t>
      </w:r>
      <w:r>
        <w:rPr>
          <w:rFonts w:hint="eastAsia"/>
          <w:color w:val="000000"/>
          <w:sz w:val="24"/>
        </w:rPr>
        <w:t>Meanwhile, t</w:t>
      </w:r>
      <w:r>
        <w:rPr>
          <w:rFonts w:eastAsia="Times New Roman"/>
          <w:color w:val="000000"/>
          <w:sz w:val="24"/>
        </w:rPr>
        <w:t xml:space="preserve">he </w:t>
      </w:r>
      <w:r>
        <w:rPr>
          <w:rFonts w:hint="eastAsia"/>
          <w:color w:val="000000"/>
          <w:sz w:val="24"/>
        </w:rPr>
        <w:t xml:space="preserve">movement of </w:t>
      </w:r>
      <w:r>
        <w:rPr>
          <w:color w:val="000000"/>
          <w:sz w:val="24"/>
        </w:rPr>
        <w:t xml:space="preserve">the </w:t>
      </w:r>
      <w:r>
        <w:rPr>
          <w:rFonts w:eastAsia="Times New Roman"/>
          <w:color w:val="000000"/>
          <w:sz w:val="24"/>
        </w:rPr>
        <w:t>RMB against the euro, the Japanese yen,</w:t>
      </w:r>
      <w:r>
        <w:rPr>
          <w:rFonts w:hint="eastAsia"/>
          <w:color w:val="000000"/>
          <w:sz w:val="24"/>
        </w:rPr>
        <w:t xml:space="preserve"> and </w:t>
      </w:r>
      <w:r>
        <w:rPr>
          <w:rFonts w:eastAsia="Times New Roman"/>
          <w:color w:val="000000"/>
          <w:sz w:val="24"/>
        </w:rPr>
        <w:t>other major currencies</w:t>
      </w:r>
      <w:r>
        <w:rPr>
          <w:rFonts w:hint="eastAsia"/>
          <w:color w:val="000000"/>
          <w:sz w:val="24"/>
        </w:rPr>
        <w:t xml:space="preserve"> diverged</w:t>
      </w:r>
      <w:r>
        <w:rPr>
          <w:rFonts w:eastAsia="Times New Roman"/>
          <w:color w:val="000000"/>
          <w:sz w:val="24"/>
        </w:rPr>
        <w:t>. At end-March, the central parities of the RMB against the euro and the Japanese yen stood at RMB 7.7378 per euro and RMB 5.9066 per 100 yen, representing a</w:t>
      </w:r>
      <w:r>
        <w:rPr>
          <w:rFonts w:hint="eastAsia"/>
          <w:color w:val="000000"/>
          <w:sz w:val="24"/>
        </w:rPr>
        <w:t>n</w:t>
      </w:r>
      <w:r>
        <w:rPr>
          <w:rFonts w:eastAsia="Times New Roman"/>
          <w:color w:val="000000"/>
          <w:sz w:val="24"/>
        </w:rPr>
        <w:t xml:space="preserve"> appreciation of 0.83 percent and a depreciation of 2.00 percent from the end of 2017, respectively. </w:t>
      </w:r>
      <w:r>
        <w:rPr>
          <w:rFonts w:hint="eastAsia"/>
          <w:color w:val="000000"/>
          <w:sz w:val="24"/>
        </w:rPr>
        <w:t>During the period between</w:t>
      </w:r>
      <w:r>
        <w:rPr>
          <w:rFonts w:eastAsia="Times New Roman"/>
          <w:color w:val="000000"/>
          <w:sz w:val="24"/>
        </w:rPr>
        <w:t xml:space="preserve"> </w:t>
      </w:r>
      <w:r>
        <w:rPr>
          <w:rFonts w:hint="eastAsia"/>
          <w:color w:val="000000"/>
          <w:sz w:val="24"/>
        </w:rPr>
        <w:t xml:space="preserve">2005, when </w:t>
      </w:r>
      <w:r>
        <w:rPr>
          <w:rFonts w:eastAsia="Times New Roman"/>
          <w:color w:val="000000"/>
          <w:sz w:val="24"/>
        </w:rPr>
        <w:t xml:space="preserve">the RMB exchange-rate regime reform </w:t>
      </w:r>
      <w:r>
        <w:rPr>
          <w:rFonts w:hint="eastAsia"/>
          <w:color w:val="000000"/>
          <w:sz w:val="24"/>
        </w:rPr>
        <w:t>was unveiled, and</w:t>
      </w:r>
      <w:r>
        <w:rPr>
          <w:rFonts w:eastAsia="Times New Roman"/>
          <w:color w:val="000000"/>
          <w:sz w:val="24"/>
        </w:rPr>
        <w:t xml:space="preserve"> end-March 2018, the RMB appreciated by a cumulative 29.42 percent against the euro and 23.69 percent against the yen.</w:t>
      </w:r>
    </w:p>
    <w:p>
      <w:pPr>
        <w:rPr>
          <w:rFonts w:eastAsia="Times New Roman"/>
          <w:color w:val="000000"/>
          <w:sz w:val="24"/>
        </w:rPr>
      </w:pPr>
    </w:p>
    <w:p>
      <w:pPr>
        <w:rPr>
          <w:rFonts w:eastAsia="Times New Roman"/>
          <w:color w:val="000000"/>
          <w:sz w:val="24"/>
        </w:rPr>
      </w:pPr>
      <w:r>
        <w:rPr>
          <w:rFonts w:eastAsia="Times New Roman"/>
          <w:color w:val="000000"/>
          <w:sz w:val="24"/>
        </w:rPr>
        <w:t>In Q1, direct RMB trading was buoyant on the inter-bank foreign-exchange market, with an obvious increase in liquidity, which lowered the conversion costs for market participants and facilitated bilateral trade and investment.</w:t>
      </w:r>
    </w:p>
    <w:p>
      <w:pPr>
        <w:rPr>
          <w:rFonts w:eastAsia="Times New Roman"/>
          <w:color w:val="000000"/>
          <w:sz w:val="24"/>
        </w:rPr>
      </w:pPr>
    </w:p>
    <w:p>
      <w:pPr>
        <w:pStyle w:val="26"/>
        <w:keepNext/>
        <w:pBdr>
          <w:top w:val="none" w:color="auto" w:sz="0" w:space="0"/>
          <w:left w:val="none" w:color="auto" w:sz="0" w:space="0"/>
          <w:bottom w:val="none" w:color="auto" w:sz="0" w:space="0"/>
          <w:right w:val="none" w:color="auto" w:sz="0" w:space="0"/>
        </w:pBdr>
        <w:spacing w:before="156" w:after="156"/>
        <w:rPr>
          <w:rFonts w:hint="default" w:ascii="Times New Roman"/>
          <w:sz w:val="24"/>
        </w:rPr>
      </w:pPr>
      <w:bookmarkStart w:id="78" w:name="_Toc517190863"/>
      <w:r>
        <w:rPr>
          <w:rFonts w:hint="default" w:ascii="Times New Roman"/>
          <w:b/>
          <w:sz w:val="24"/>
        </w:rPr>
        <w:t xml:space="preserve">Table </w:t>
      </w:r>
      <w:r>
        <w:rPr>
          <w:rFonts w:hint="default" w:ascii="Times New Roman"/>
          <w:b/>
          <w:sz w:val="24"/>
        </w:rPr>
        <w:fldChar w:fldCharType="begin"/>
      </w:r>
      <w:r>
        <w:rPr>
          <w:rFonts w:hint="default" w:ascii="Times New Roman"/>
          <w:b/>
          <w:sz w:val="24"/>
        </w:rPr>
        <w:instrText xml:space="preserve"> SEQ Table \* ARABIC </w:instrText>
      </w:r>
      <w:r>
        <w:rPr>
          <w:rFonts w:hint="default" w:ascii="Times New Roman"/>
          <w:b/>
          <w:sz w:val="24"/>
        </w:rPr>
        <w:fldChar w:fldCharType="separate"/>
      </w:r>
      <w:r>
        <w:rPr>
          <w:rFonts w:hint="default" w:ascii="Times New Roman"/>
          <w:b/>
          <w:sz w:val="24"/>
        </w:rPr>
        <w:t>8</w:t>
      </w:r>
      <w:r>
        <w:rPr>
          <w:rFonts w:hint="default" w:ascii="Times New Roman"/>
          <w:b/>
          <w:sz w:val="24"/>
        </w:rPr>
        <w:fldChar w:fldCharType="end"/>
      </w:r>
      <w:r>
        <w:rPr>
          <w:rFonts w:ascii="Times New Roman"/>
          <w:b/>
          <w:bCs w:val="0"/>
          <w:sz w:val="24"/>
        </w:rPr>
        <w:t>.</w:t>
      </w:r>
      <w:r>
        <w:rPr>
          <w:rFonts w:hint="default" w:ascii="Times New Roman"/>
          <w:b/>
          <w:bCs w:val="0"/>
          <w:sz w:val="24"/>
        </w:rPr>
        <w:t xml:space="preserve"> Trading Volume of the RMB Against Other Currencies in the Inter-bank Foreign-Exchange Spot Market in Q1 2018</w:t>
      </w:r>
      <w:bookmarkEnd w:id="78"/>
    </w:p>
    <w:bookmarkEnd w:id="76"/>
    <w:bookmarkEnd w:id="77"/>
    <w:p>
      <w:pPr>
        <w:wordWrap w:val="0"/>
        <w:jc w:val="right"/>
        <w:rPr>
          <w:sz w:val="24"/>
        </w:rPr>
      </w:pPr>
      <w:r>
        <w:rPr>
          <w:sz w:val="24"/>
        </w:rPr>
        <w:t>Unit</w:t>
      </w:r>
      <w:r>
        <w:rPr>
          <w:rFonts w:hint="eastAsia"/>
          <w:sz w:val="24"/>
        </w:rPr>
        <w:t>：</w:t>
      </w:r>
      <w:r>
        <w:rPr>
          <w:sz w:val="24"/>
        </w:rPr>
        <w:t>RMB 100 million</w:t>
      </w:r>
    </w:p>
    <w:tbl>
      <w:tblPr>
        <w:tblStyle w:val="96"/>
        <w:tblW w:w="8728" w:type="dxa"/>
        <w:jc w:val="center"/>
        <w:tblInd w:w="0" w:type="dxa"/>
        <w:tblLayout w:type="fixed"/>
        <w:tblCellMar>
          <w:top w:w="0" w:type="dxa"/>
          <w:left w:w="0" w:type="dxa"/>
          <w:bottom w:w="0" w:type="dxa"/>
          <w:right w:w="0" w:type="dxa"/>
        </w:tblCellMar>
      </w:tblPr>
      <w:tblGrid>
        <w:gridCol w:w="936"/>
        <w:gridCol w:w="680"/>
        <w:gridCol w:w="690"/>
        <w:gridCol w:w="620"/>
        <w:gridCol w:w="580"/>
        <w:gridCol w:w="580"/>
        <w:gridCol w:w="600"/>
        <w:gridCol w:w="600"/>
        <w:gridCol w:w="550"/>
        <w:gridCol w:w="620"/>
        <w:gridCol w:w="580"/>
        <w:gridCol w:w="590"/>
        <w:gridCol w:w="570"/>
        <w:gridCol w:w="532"/>
      </w:tblGrid>
      <w:tr>
        <w:tblPrEx>
          <w:tblLayout w:type="fixed"/>
          <w:tblCellMar>
            <w:top w:w="0" w:type="dxa"/>
            <w:left w:w="0" w:type="dxa"/>
            <w:bottom w:w="0" w:type="dxa"/>
            <w:right w:w="0" w:type="dxa"/>
          </w:tblCellMar>
        </w:tblPrEx>
        <w:trPr>
          <w:trHeight w:val="402" w:hRule="atLeast"/>
          <w:jc w:val="center"/>
        </w:trPr>
        <w:tc>
          <w:tcPr>
            <w:tcW w:w="936" w:type="dxa"/>
            <w:tcBorders>
              <w:top w:val="single" w:color="339966" w:sz="12" w:space="0"/>
              <w:left w:val="nil"/>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Currency</w:t>
            </w:r>
          </w:p>
        </w:tc>
        <w:tc>
          <w:tcPr>
            <w:tcW w:w="68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USD</w:t>
            </w:r>
          </w:p>
        </w:tc>
        <w:tc>
          <w:tcPr>
            <w:tcW w:w="69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EUR</w:t>
            </w:r>
          </w:p>
        </w:tc>
        <w:tc>
          <w:tcPr>
            <w:tcW w:w="62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JPY</w:t>
            </w:r>
          </w:p>
        </w:tc>
        <w:tc>
          <w:tcPr>
            <w:tcW w:w="58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HKD</w:t>
            </w:r>
          </w:p>
        </w:tc>
        <w:tc>
          <w:tcPr>
            <w:tcW w:w="58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GBP</w:t>
            </w:r>
          </w:p>
        </w:tc>
        <w:tc>
          <w:tcPr>
            <w:tcW w:w="60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AUD</w:t>
            </w:r>
          </w:p>
        </w:tc>
        <w:tc>
          <w:tcPr>
            <w:tcW w:w="600" w:type="dxa"/>
            <w:tcBorders>
              <w:top w:val="single" w:color="339966" w:sz="12" w:space="0"/>
              <w:left w:val="single" w:color="339966" w:sz="4" w:space="0"/>
              <w:bottom w:val="single" w:color="339966" w:sz="6"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NZD</w:t>
            </w:r>
          </w:p>
        </w:tc>
        <w:tc>
          <w:tcPr>
            <w:tcW w:w="550" w:type="dxa"/>
            <w:tcBorders>
              <w:top w:val="single" w:color="339966" w:sz="12" w:space="0"/>
              <w:left w:val="single" w:color="339966" w:sz="4" w:space="0"/>
              <w:bottom w:val="single" w:color="339966" w:sz="6" w:space="0"/>
              <w:right w:val="single" w:color="339966" w:sz="4" w:space="0"/>
            </w:tcBorders>
            <w:shd w:val="clear" w:color="auto" w:fill="CCFFCC"/>
            <w:vAlign w:val="center"/>
          </w:tcPr>
          <w:p>
            <w:pPr>
              <w:adjustRightInd w:val="0"/>
              <w:snapToGrid w:val="0"/>
              <w:jc w:val="center"/>
              <w:rPr>
                <w:kern w:val="0"/>
                <w:sz w:val="24"/>
              </w:rPr>
            </w:pPr>
            <w:r>
              <w:rPr>
                <w:kern w:val="0"/>
                <w:sz w:val="24"/>
              </w:rPr>
              <w:t>SGD</w:t>
            </w:r>
          </w:p>
        </w:tc>
        <w:tc>
          <w:tcPr>
            <w:tcW w:w="620" w:type="dxa"/>
            <w:tcBorders>
              <w:top w:val="single" w:color="339966" w:sz="12" w:space="0"/>
              <w:left w:val="single" w:color="339966" w:sz="4" w:space="0"/>
              <w:bottom w:val="single" w:color="339966" w:sz="6" w:space="0"/>
              <w:right w:val="single" w:color="339966" w:sz="4" w:space="0"/>
            </w:tcBorders>
            <w:shd w:val="clear" w:color="auto" w:fill="CCFFCC"/>
            <w:vAlign w:val="center"/>
          </w:tcPr>
          <w:p>
            <w:pPr>
              <w:adjustRightInd w:val="0"/>
              <w:snapToGrid w:val="0"/>
              <w:jc w:val="center"/>
              <w:rPr>
                <w:color w:val="000000"/>
                <w:kern w:val="0"/>
                <w:sz w:val="24"/>
              </w:rPr>
            </w:pPr>
            <w:r>
              <w:rPr>
                <w:color w:val="000000"/>
                <w:kern w:val="0"/>
                <w:sz w:val="24"/>
              </w:rPr>
              <w:t>CHF</w:t>
            </w:r>
          </w:p>
        </w:tc>
        <w:tc>
          <w:tcPr>
            <w:tcW w:w="580" w:type="dxa"/>
            <w:tcBorders>
              <w:top w:val="single" w:color="339966" w:sz="12" w:space="0"/>
              <w:left w:val="single" w:color="339966" w:sz="4" w:space="0"/>
              <w:bottom w:val="single" w:color="339966" w:sz="6" w:space="0"/>
              <w:right w:val="single" w:color="339966" w:sz="4" w:space="0"/>
            </w:tcBorders>
            <w:shd w:val="clear" w:color="auto" w:fill="CCFFCC"/>
            <w:vAlign w:val="center"/>
          </w:tcPr>
          <w:p>
            <w:pPr>
              <w:adjustRightInd w:val="0"/>
              <w:snapToGrid w:val="0"/>
              <w:jc w:val="center"/>
              <w:rPr>
                <w:color w:val="000000"/>
                <w:kern w:val="0"/>
                <w:sz w:val="24"/>
              </w:rPr>
            </w:pPr>
            <w:r>
              <w:rPr>
                <w:color w:val="000000"/>
                <w:kern w:val="0"/>
                <w:sz w:val="24"/>
              </w:rPr>
              <w:t>CAD</w:t>
            </w:r>
          </w:p>
        </w:tc>
        <w:tc>
          <w:tcPr>
            <w:tcW w:w="590" w:type="dxa"/>
            <w:tcBorders>
              <w:top w:val="single" w:color="339966" w:sz="12" w:space="0"/>
              <w:left w:val="single" w:color="339966" w:sz="4" w:space="0"/>
              <w:bottom w:val="single" w:color="339966" w:sz="6" w:space="0"/>
              <w:right w:val="single" w:color="339966" w:sz="4" w:space="0"/>
            </w:tcBorders>
            <w:shd w:val="clear" w:color="auto" w:fill="CCFFCC"/>
            <w:vAlign w:val="center"/>
          </w:tcPr>
          <w:p>
            <w:pPr>
              <w:adjustRightInd w:val="0"/>
              <w:snapToGrid w:val="0"/>
              <w:jc w:val="center"/>
              <w:rPr>
                <w:kern w:val="0"/>
                <w:sz w:val="24"/>
              </w:rPr>
            </w:pPr>
            <w:r>
              <w:rPr>
                <w:kern w:val="0"/>
                <w:sz w:val="24"/>
              </w:rPr>
              <w:t>MYR</w:t>
            </w:r>
          </w:p>
        </w:tc>
        <w:tc>
          <w:tcPr>
            <w:tcW w:w="570" w:type="dxa"/>
            <w:tcBorders>
              <w:top w:val="single" w:color="339966" w:sz="12" w:space="0"/>
              <w:left w:val="single" w:color="339966" w:sz="4" w:space="0"/>
              <w:bottom w:val="single" w:color="339966" w:sz="6" w:space="0"/>
            </w:tcBorders>
            <w:shd w:val="clear" w:color="auto" w:fill="CCFFCC"/>
            <w:vAlign w:val="center"/>
          </w:tcPr>
          <w:p>
            <w:pPr>
              <w:adjustRightInd w:val="0"/>
              <w:snapToGrid w:val="0"/>
              <w:jc w:val="center"/>
              <w:rPr>
                <w:kern w:val="0"/>
                <w:sz w:val="24"/>
              </w:rPr>
            </w:pPr>
            <w:r>
              <w:rPr>
                <w:kern w:val="0"/>
                <w:sz w:val="24"/>
              </w:rPr>
              <w:t>RUB</w:t>
            </w:r>
          </w:p>
        </w:tc>
        <w:tc>
          <w:tcPr>
            <w:tcW w:w="532" w:type="dxa"/>
            <w:tcBorders>
              <w:top w:val="single" w:color="339966" w:sz="12" w:space="0"/>
              <w:left w:val="single" w:color="339966" w:sz="4" w:space="0"/>
              <w:bottom w:val="single" w:color="339966" w:sz="6" w:space="0"/>
            </w:tcBorders>
            <w:shd w:val="clear" w:color="auto" w:fill="CCFFCC"/>
            <w:vAlign w:val="center"/>
          </w:tcPr>
          <w:p>
            <w:pPr>
              <w:adjustRightInd w:val="0"/>
              <w:snapToGrid w:val="0"/>
              <w:jc w:val="center"/>
              <w:rPr>
                <w:kern w:val="0"/>
                <w:sz w:val="24"/>
              </w:rPr>
            </w:pPr>
            <w:r>
              <w:rPr>
                <w:kern w:val="0"/>
                <w:sz w:val="24"/>
              </w:rPr>
              <w:t>ZAR</w:t>
            </w:r>
          </w:p>
        </w:tc>
      </w:tr>
      <w:tr>
        <w:tblPrEx>
          <w:tblLayout w:type="fixed"/>
          <w:tblCellMar>
            <w:top w:w="0" w:type="dxa"/>
            <w:left w:w="0" w:type="dxa"/>
            <w:bottom w:w="0" w:type="dxa"/>
            <w:right w:w="0" w:type="dxa"/>
          </w:tblCellMar>
        </w:tblPrEx>
        <w:trPr>
          <w:trHeight w:val="446" w:hRule="atLeast"/>
          <w:jc w:val="center"/>
        </w:trPr>
        <w:tc>
          <w:tcPr>
            <w:tcW w:w="936" w:type="dxa"/>
            <w:tcBorders>
              <w:top w:val="single" w:color="339966" w:sz="6" w:space="0"/>
              <w:left w:val="nil"/>
              <w:bottom w:val="single" w:color="339966" w:sz="6" w:space="0"/>
              <w:right w:val="single" w:color="339966" w:sz="4" w:space="0"/>
            </w:tcBorders>
            <w:tcMar>
              <w:top w:w="15" w:type="dxa"/>
              <w:left w:w="15" w:type="dxa"/>
              <w:bottom w:w="0" w:type="dxa"/>
              <w:right w:w="15" w:type="dxa"/>
            </w:tcMar>
            <w:vAlign w:val="center"/>
          </w:tcPr>
          <w:p>
            <w:pPr>
              <w:adjustRightInd w:val="0"/>
              <w:snapToGrid w:val="0"/>
              <w:jc w:val="center"/>
              <w:rPr>
                <w:kern w:val="0"/>
                <w:sz w:val="24"/>
              </w:rPr>
            </w:pPr>
            <w:r>
              <w:rPr>
                <w:kern w:val="0"/>
                <w:sz w:val="24"/>
              </w:rPr>
              <w:t>Trading volume</w:t>
            </w:r>
          </w:p>
        </w:tc>
        <w:tc>
          <w:tcPr>
            <w:tcW w:w="68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91895.67</w:t>
            </w:r>
          </w:p>
        </w:tc>
        <w:tc>
          <w:tcPr>
            <w:tcW w:w="69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1784.93</w:t>
            </w:r>
          </w:p>
        </w:tc>
        <w:tc>
          <w:tcPr>
            <w:tcW w:w="62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456.36</w:t>
            </w:r>
          </w:p>
        </w:tc>
        <w:tc>
          <w:tcPr>
            <w:tcW w:w="58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309.97</w:t>
            </w:r>
          </w:p>
        </w:tc>
        <w:tc>
          <w:tcPr>
            <w:tcW w:w="58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40.76</w:t>
            </w:r>
          </w:p>
        </w:tc>
        <w:tc>
          <w:tcPr>
            <w:tcW w:w="60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160.94</w:t>
            </w:r>
          </w:p>
        </w:tc>
        <w:tc>
          <w:tcPr>
            <w:tcW w:w="600" w:type="dxa"/>
            <w:tcBorders>
              <w:top w:val="single" w:color="339966" w:sz="6" w:space="0"/>
              <w:left w:val="single" w:color="339966" w:sz="4" w:space="0"/>
              <w:bottom w:val="single" w:color="339966" w:sz="6" w:space="0"/>
              <w:right w:val="single" w:color="339966" w:sz="4" w:space="0"/>
            </w:tcBorders>
            <w:tcMar>
              <w:top w:w="15" w:type="dxa"/>
              <w:left w:w="15" w:type="dxa"/>
              <w:bottom w:w="0" w:type="dxa"/>
              <w:right w:w="15" w:type="dxa"/>
            </w:tcMar>
            <w:vAlign w:val="center"/>
          </w:tcPr>
          <w:p>
            <w:pPr>
              <w:jc w:val="center"/>
              <w:rPr>
                <w:sz w:val="24"/>
              </w:rPr>
            </w:pPr>
            <w:r>
              <w:rPr>
                <w:sz w:val="24"/>
              </w:rPr>
              <w:t>29.14</w:t>
            </w:r>
          </w:p>
        </w:tc>
        <w:tc>
          <w:tcPr>
            <w:tcW w:w="550" w:type="dxa"/>
            <w:tcBorders>
              <w:top w:val="single" w:color="339966" w:sz="6" w:space="0"/>
              <w:left w:val="single" w:color="339966" w:sz="4" w:space="0"/>
              <w:bottom w:val="single" w:color="339966" w:sz="6" w:space="0"/>
              <w:right w:val="single" w:color="339966" w:sz="4" w:space="0"/>
            </w:tcBorders>
            <w:vAlign w:val="center"/>
          </w:tcPr>
          <w:p>
            <w:pPr>
              <w:jc w:val="center"/>
              <w:rPr>
                <w:sz w:val="24"/>
              </w:rPr>
            </w:pPr>
            <w:r>
              <w:rPr>
                <w:sz w:val="24"/>
              </w:rPr>
              <w:t>7.54</w:t>
            </w:r>
          </w:p>
        </w:tc>
        <w:tc>
          <w:tcPr>
            <w:tcW w:w="620" w:type="dxa"/>
            <w:tcBorders>
              <w:top w:val="single" w:color="339966" w:sz="6" w:space="0"/>
              <w:left w:val="single" w:color="339966" w:sz="4" w:space="0"/>
              <w:bottom w:val="single" w:color="339966" w:sz="6" w:space="0"/>
              <w:right w:val="single" w:color="339966" w:sz="4" w:space="0"/>
            </w:tcBorders>
            <w:vAlign w:val="center"/>
          </w:tcPr>
          <w:p>
            <w:pPr>
              <w:jc w:val="center"/>
              <w:rPr>
                <w:color w:val="000000"/>
                <w:sz w:val="24"/>
              </w:rPr>
            </w:pPr>
            <w:r>
              <w:rPr>
                <w:color w:val="000000"/>
                <w:sz w:val="24"/>
              </w:rPr>
              <w:t>25.64</w:t>
            </w:r>
          </w:p>
        </w:tc>
        <w:tc>
          <w:tcPr>
            <w:tcW w:w="580" w:type="dxa"/>
            <w:tcBorders>
              <w:top w:val="single" w:color="339966" w:sz="6" w:space="0"/>
              <w:left w:val="single" w:color="339966" w:sz="4" w:space="0"/>
              <w:bottom w:val="single" w:color="339966" w:sz="6" w:space="0"/>
              <w:right w:val="single" w:color="339966" w:sz="4" w:space="0"/>
            </w:tcBorders>
            <w:vAlign w:val="center"/>
          </w:tcPr>
          <w:p>
            <w:pPr>
              <w:jc w:val="center"/>
              <w:rPr>
                <w:color w:val="000000"/>
                <w:sz w:val="24"/>
              </w:rPr>
            </w:pPr>
            <w:r>
              <w:rPr>
                <w:color w:val="000000"/>
                <w:sz w:val="24"/>
              </w:rPr>
              <w:t>97.46</w:t>
            </w:r>
          </w:p>
        </w:tc>
        <w:tc>
          <w:tcPr>
            <w:tcW w:w="590" w:type="dxa"/>
            <w:tcBorders>
              <w:top w:val="single" w:color="339966" w:sz="6" w:space="0"/>
              <w:left w:val="single" w:color="339966" w:sz="4" w:space="0"/>
              <w:bottom w:val="single" w:color="339966" w:sz="6" w:space="0"/>
              <w:right w:val="single" w:color="339966" w:sz="4" w:space="0"/>
            </w:tcBorders>
            <w:vAlign w:val="center"/>
          </w:tcPr>
          <w:p>
            <w:pPr>
              <w:jc w:val="center"/>
              <w:rPr>
                <w:sz w:val="24"/>
              </w:rPr>
            </w:pPr>
            <w:r>
              <w:rPr>
                <w:sz w:val="24"/>
              </w:rPr>
              <w:t>8.62</w:t>
            </w:r>
          </w:p>
        </w:tc>
        <w:tc>
          <w:tcPr>
            <w:tcW w:w="570" w:type="dxa"/>
            <w:tcBorders>
              <w:top w:val="single" w:color="339966" w:sz="6" w:space="0"/>
              <w:left w:val="single" w:color="339966" w:sz="4" w:space="0"/>
              <w:bottom w:val="single" w:color="339966" w:sz="6" w:space="0"/>
            </w:tcBorders>
            <w:vAlign w:val="center"/>
          </w:tcPr>
          <w:p>
            <w:pPr>
              <w:jc w:val="center"/>
              <w:rPr>
                <w:sz w:val="24"/>
              </w:rPr>
            </w:pPr>
            <w:r>
              <w:rPr>
                <w:sz w:val="24"/>
              </w:rPr>
              <w:t>19.64</w:t>
            </w:r>
          </w:p>
        </w:tc>
        <w:tc>
          <w:tcPr>
            <w:tcW w:w="532" w:type="dxa"/>
            <w:tcBorders>
              <w:top w:val="single" w:color="339966" w:sz="6" w:space="0"/>
              <w:left w:val="single" w:color="339966" w:sz="4" w:space="0"/>
              <w:bottom w:val="single" w:color="339966" w:sz="6" w:space="0"/>
            </w:tcBorders>
            <w:vAlign w:val="center"/>
          </w:tcPr>
          <w:p>
            <w:pPr>
              <w:jc w:val="center"/>
              <w:rPr>
                <w:sz w:val="24"/>
              </w:rPr>
            </w:pPr>
            <w:r>
              <w:rPr>
                <w:sz w:val="24"/>
              </w:rPr>
              <w:t>1.02</w:t>
            </w:r>
          </w:p>
        </w:tc>
      </w:tr>
      <w:tr>
        <w:tblPrEx>
          <w:tblLayout w:type="fixed"/>
          <w:tblCellMar>
            <w:top w:w="0" w:type="dxa"/>
            <w:left w:w="0" w:type="dxa"/>
            <w:bottom w:w="0" w:type="dxa"/>
            <w:right w:w="0" w:type="dxa"/>
          </w:tblCellMar>
        </w:tblPrEx>
        <w:trPr>
          <w:trHeight w:val="446" w:hRule="atLeast"/>
          <w:jc w:val="center"/>
        </w:trPr>
        <w:tc>
          <w:tcPr>
            <w:tcW w:w="936" w:type="dxa"/>
            <w:tcBorders>
              <w:top w:val="single" w:color="339966" w:sz="6" w:space="0"/>
              <w:left w:val="nil"/>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Currency</w:t>
            </w:r>
          </w:p>
        </w:tc>
        <w:tc>
          <w:tcPr>
            <w:tcW w:w="68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KRW</w:t>
            </w:r>
          </w:p>
        </w:tc>
        <w:tc>
          <w:tcPr>
            <w:tcW w:w="69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AED</w:t>
            </w:r>
          </w:p>
        </w:tc>
        <w:tc>
          <w:tcPr>
            <w:tcW w:w="62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SAR</w:t>
            </w:r>
          </w:p>
        </w:tc>
        <w:tc>
          <w:tcPr>
            <w:tcW w:w="58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HUF</w:t>
            </w:r>
          </w:p>
        </w:tc>
        <w:tc>
          <w:tcPr>
            <w:tcW w:w="58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PLN</w:t>
            </w:r>
          </w:p>
        </w:tc>
        <w:tc>
          <w:tcPr>
            <w:tcW w:w="60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DKK</w:t>
            </w:r>
          </w:p>
        </w:tc>
        <w:tc>
          <w:tcPr>
            <w:tcW w:w="600" w:type="dxa"/>
            <w:tcBorders>
              <w:top w:val="single" w:color="339966" w:sz="6" w:space="0"/>
              <w:left w:val="single" w:color="339966" w:sz="4" w:space="0"/>
              <w:bottom w:val="single" w:color="339966" w:sz="12" w:space="0"/>
              <w:right w:val="single" w:color="339966" w:sz="4" w:space="0"/>
            </w:tcBorders>
            <w:shd w:val="clear" w:color="auto" w:fill="CCFFCC"/>
            <w:tcMar>
              <w:top w:w="15" w:type="dxa"/>
              <w:left w:w="15" w:type="dxa"/>
              <w:bottom w:w="0" w:type="dxa"/>
              <w:right w:w="15" w:type="dxa"/>
            </w:tcMar>
            <w:vAlign w:val="center"/>
          </w:tcPr>
          <w:p>
            <w:pPr>
              <w:adjustRightInd w:val="0"/>
              <w:snapToGrid w:val="0"/>
              <w:jc w:val="center"/>
              <w:rPr>
                <w:kern w:val="0"/>
                <w:sz w:val="24"/>
              </w:rPr>
            </w:pPr>
            <w:r>
              <w:rPr>
                <w:kern w:val="0"/>
                <w:sz w:val="24"/>
              </w:rPr>
              <w:t>SEK</w:t>
            </w:r>
          </w:p>
        </w:tc>
        <w:tc>
          <w:tcPr>
            <w:tcW w:w="550" w:type="dxa"/>
            <w:tcBorders>
              <w:top w:val="single" w:color="339966" w:sz="6" w:space="0"/>
              <w:left w:val="single" w:color="339966" w:sz="4" w:space="0"/>
              <w:bottom w:val="single" w:color="339966" w:sz="12" w:space="0"/>
              <w:right w:val="single" w:color="339966" w:sz="4" w:space="0"/>
            </w:tcBorders>
            <w:shd w:val="clear" w:color="auto" w:fill="CCFFCC"/>
            <w:vAlign w:val="center"/>
          </w:tcPr>
          <w:p>
            <w:pPr>
              <w:adjustRightInd w:val="0"/>
              <w:snapToGrid w:val="0"/>
              <w:jc w:val="center"/>
              <w:rPr>
                <w:kern w:val="0"/>
                <w:sz w:val="24"/>
              </w:rPr>
            </w:pPr>
            <w:r>
              <w:rPr>
                <w:kern w:val="0"/>
                <w:sz w:val="24"/>
              </w:rPr>
              <w:t>NOK</w:t>
            </w:r>
          </w:p>
        </w:tc>
        <w:tc>
          <w:tcPr>
            <w:tcW w:w="620" w:type="dxa"/>
            <w:tcBorders>
              <w:top w:val="single" w:color="339966" w:sz="6" w:space="0"/>
              <w:left w:val="single" w:color="339966" w:sz="4" w:space="0"/>
              <w:bottom w:val="single" w:color="339966" w:sz="12" w:space="0"/>
              <w:right w:val="single" w:color="339966" w:sz="4" w:space="0"/>
            </w:tcBorders>
            <w:shd w:val="clear" w:color="auto" w:fill="CCFFCC"/>
            <w:vAlign w:val="center"/>
          </w:tcPr>
          <w:p>
            <w:pPr>
              <w:adjustRightInd w:val="0"/>
              <w:snapToGrid w:val="0"/>
              <w:jc w:val="center"/>
              <w:rPr>
                <w:kern w:val="0"/>
                <w:sz w:val="24"/>
              </w:rPr>
            </w:pPr>
            <w:r>
              <w:rPr>
                <w:kern w:val="0"/>
                <w:sz w:val="24"/>
              </w:rPr>
              <w:t>TRY</w:t>
            </w:r>
          </w:p>
        </w:tc>
        <w:tc>
          <w:tcPr>
            <w:tcW w:w="580" w:type="dxa"/>
            <w:tcBorders>
              <w:top w:val="single" w:color="339966" w:sz="6" w:space="0"/>
              <w:left w:val="single" w:color="339966" w:sz="4" w:space="0"/>
              <w:bottom w:val="single" w:color="339966" w:sz="12" w:space="0"/>
              <w:right w:val="single" w:color="339966" w:sz="4" w:space="0"/>
            </w:tcBorders>
            <w:shd w:val="clear" w:color="auto" w:fill="CCFFCC"/>
            <w:vAlign w:val="center"/>
          </w:tcPr>
          <w:p>
            <w:pPr>
              <w:adjustRightInd w:val="0"/>
              <w:snapToGrid w:val="0"/>
              <w:jc w:val="center"/>
              <w:rPr>
                <w:kern w:val="0"/>
                <w:sz w:val="24"/>
              </w:rPr>
            </w:pPr>
            <w:r>
              <w:rPr>
                <w:kern w:val="0"/>
                <w:sz w:val="24"/>
              </w:rPr>
              <w:t>MXN</w:t>
            </w:r>
          </w:p>
        </w:tc>
        <w:tc>
          <w:tcPr>
            <w:tcW w:w="590" w:type="dxa"/>
            <w:tcBorders>
              <w:top w:val="single" w:color="339966" w:sz="6" w:space="0"/>
              <w:left w:val="single" w:color="339966" w:sz="4" w:space="0"/>
              <w:bottom w:val="single" w:color="339966" w:sz="12" w:space="0"/>
              <w:right w:val="single" w:color="339966" w:sz="4" w:space="0"/>
            </w:tcBorders>
            <w:shd w:val="clear" w:color="auto" w:fill="CCFFCC"/>
            <w:vAlign w:val="center"/>
          </w:tcPr>
          <w:p>
            <w:pPr>
              <w:adjustRightInd w:val="0"/>
              <w:snapToGrid w:val="0"/>
              <w:jc w:val="center"/>
              <w:rPr>
                <w:kern w:val="0"/>
                <w:sz w:val="24"/>
              </w:rPr>
            </w:pPr>
            <w:r>
              <w:rPr>
                <w:rFonts w:hint="eastAsia"/>
                <w:kern w:val="0"/>
                <w:sz w:val="24"/>
              </w:rPr>
              <w:t>THB</w:t>
            </w:r>
          </w:p>
        </w:tc>
        <w:tc>
          <w:tcPr>
            <w:tcW w:w="570" w:type="dxa"/>
            <w:tcBorders>
              <w:top w:val="single" w:color="339966" w:sz="6" w:space="0"/>
              <w:left w:val="single" w:color="339966" w:sz="4" w:space="0"/>
              <w:bottom w:val="single" w:color="339966" w:sz="12" w:space="0"/>
            </w:tcBorders>
            <w:shd w:val="clear" w:color="auto" w:fill="CCFFCC"/>
            <w:vAlign w:val="center"/>
          </w:tcPr>
          <w:p>
            <w:pPr>
              <w:adjustRightInd w:val="0"/>
              <w:snapToGrid w:val="0"/>
              <w:jc w:val="center"/>
              <w:rPr>
                <w:kern w:val="0"/>
                <w:sz w:val="24"/>
              </w:rPr>
            </w:pPr>
            <w:r>
              <w:rPr>
                <w:rFonts w:hint="eastAsia"/>
                <w:kern w:val="0"/>
                <w:sz w:val="24"/>
              </w:rPr>
              <w:t>MNT</w:t>
            </w:r>
          </w:p>
        </w:tc>
        <w:tc>
          <w:tcPr>
            <w:tcW w:w="532" w:type="dxa"/>
            <w:tcBorders>
              <w:top w:val="single" w:color="339966" w:sz="6" w:space="0"/>
              <w:left w:val="single" w:color="339966" w:sz="4" w:space="0"/>
              <w:bottom w:val="single" w:color="339966" w:sz="12" w:space="0"/>
            </w:tcBorders>
            <w:shd w:val="clear" w:color="auto" w:fill="CCFFCC"/>
            <w:vAlign w:val="center"/>
          </w:tcPr>
          <w:p>
            <w:pPr>
              <w:adjustRightInd w:val="0"/>
              <w:snapToGrid w:val="0"/>
              <w:jc w:val="center"/>
              <w:rPr>
                <w:kern w:val="0"/>
                <w:sz w:val="24"/>
              </w:rPr>
            </w:pPr>
          </w:p>
        </w:tc>
      </w:tr>
      <w:tr>
        <w:tblPrEx>
          <w:tblLayout w:type="fixed"/>
          <w:tblCellMar>
            <w:top w:w="0" w:type="dxa"/>
            <w:left w:w="0" w:type="dxa"/>
            <w:bottom w:w="0" w:type="dxa"/>
            <w:right w:w="0" w:type="dxa"/>
          </w:tblCellMar>
        </w:tblPrEx>
        <w:trPr>
          <w:trHeight w:val="446" w:hRule="atLeast"/>
          <w:jc w:val="center"/>
        </w:trPr>
        <w:tc>
          <w:tcPr>
            <w:tcW w:w="936" w:type="dxa"/>
            <w:tcBorders>
              <w:top w:val="single" w:color="339966" w:sz="6" w:space="0"/>
              <w:left w:val="nil"/>
              <w:bottom w:val="single" w:color="339966" w:sz="12" w:space="0"/>
              <w:right w:val="single" w:color="339966" w:sz="4" w:space="0"/>
            </w:tcBorders>
            <w:tcMar>
              <w:top w:w="15" w:type="dxa"/>
              <w:left w:w="15" w:type="dxa"/>
              <w:bottom w:w="0" w:type="dxa"/>
              <w:right w:w="15" w:type="dxa"/>
            </w:tcMar>
            <w:vAlign w:val="center"/>
          </w:tcPr>
          <w:p>
            <w:pPr>
              <w:adjustRightInd w:val="0"/>
              <w:snapToGrid w:val="0"/>
              <w:jc w:val="center"/>
              <w:rPr>
                <w:kern w:val="0"/>
                <w:sz w:val="24"/>
              </w:rPr>
            </w:pPr>
            <w:r>
              <w:rPr>
                <w:kern w:val="0"/>
                <w:sz w:val="24"/>
              </w:rPr>
              <w:t>Trading volume</w:t>
            </w:r>
          </w:p>
        </w:tc>
        <w:tc>
          <w:tcPr>
            <w:tcW w:w="68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60.90</w:t>
            </w:r>
          </w:p>
        </w:tc>
        <w:tc>
          <w:tcPr>
            <w:tcW w:w="69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0.08</w:t>
            </w:r>
          </w:p>
        </w:tc>
        <w:tc>
          <w:tcPr>
            <w:tcW w:w="62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0.30</w:t>
            </w:r>
          </w:p>
        </w:tc>
        <w:tc>
          <w:tcPr>
            <w:tcW w:w="58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0.10</w:t>
            </w:r>
          </w:p>
        </w:tc>
        <w:tc>
          <w:tcPr>
            <w:tcW w:w="58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0.13</w:t>
            </w:r>
          </w:p>
        </w:tc>
        <w:tc>
          <w:tcPr>
            <w:tcW w:w="60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2.55</w:t>
            </w:r>
          </w:p>
        </w:tc>
        <w:tc>
          <w:tcPr>
            <w:tcW w:w="600" w:type="dxa"/>
            <w:tcBorders>
              <w:top w:val="single" w:color="339966" w:sz="6" w:space="0"/>
              <w:left w:val="single" w:color="339966" w:sz="4" w:space="0"/>
              <w:bottom w:val="single" w:color="339966" w:sz="12" w:space="0"/>
              <w:right w:val="single" w:color="339966" w:sz="4" w:space="0"/>
            </w:tcBorders>
            <w:tcMar>
              <w:top w:w="15" w:type="dxa"/>
              <w:left w:w="15" w:type="dxa"/>
              <w:bottom w:w="0" w:type="dxa"/>
              <w:right w:w="15" w:type="dxa"/>
            </w:tcMar>
            <w:vAlign w:val="center"/>
          </w:tcPr>
          <w:p>
            <w:pPr>
              <w:jc w:val="center"/>
              <w:rPr>
                <w:sz w:val="24"/>
              </w:rPr>
            </w:pPr>
            <w:r>
              <w:rPr>
                <w:sz w:val="24"/>
              </w:rPr>
              <w:t>9.16</w:t>
            </w:r>
          </w:p>
        </w:tc>
        <w:tc>
          <w:tcPr>
            <w:tcW w:w="550" w:type="dxa"/>
            <w:tcBorders>
              <w:top w:val="single" w:color="339966" w:sz="6" w:space="0"/>
              <w:left w:val="single" w:color="339966" w:sz="4" w:space="0"/>
              <w:bottom w:val="single" w:color="339966" w:sz="12" w:space="0"/>
              <w:right w:val="single" w:color="339966" w:sz="4" w:space="0"/>
            </w:tcBorders>
            <w:vAlign w:val="center"/>
          </w:tcPr>
          <w:p>
            <w:pPr>
              <w:jc w:val="center"/>
              <w:rPr>
                <w:sz w:val="24"/>
              </w:rPr>
            </w:pPr>
            <w:r>
              <w:rPr>
                <w:color w:val="000000"/>
                <w:sz w:val="24"/>
              </w:rPr>
              <w:t>1.24</w:t>
            </w:r>
          </w:p>
        </w:tc>
        <w:tc>
          <w:tcPr>
            <w:tcW w:w="620" w:type="dxa"/>
            <w:tcBorders>
              <w:top w:val="single" w:color="339966" w:sz="6" w:space="0"/>
              <w:left w:val="single" w:color="339966" w:sz="4" w:space="0"/>
              <w:bottom w:val="single" w:color="339966" w:sz="12" w:space="0"/>
              <w:right w:val="single" w:color="339966" w:sz="4" w:space="0"/>
            </w:tcBorders>
            <w:vAlign w:val="center"/>
          </w:tcPr>
          <w:p>
            <w:pPr>
              <w:jc w:val="center"/>
              <w:rPr>
                <w:color w:val="000000"/>
                <w:sz w:val="24"/>
              </w:rPr>
            </w:pPr>
            <w:r>
              <w:rPr>
                <w:color w:val="000000"/>
                <w:sz w:val="24"/>
              </w:rPr>
              <w:t>0.21</w:t>
            </w:r>
          </w:p>
        </w:tc>
        <w:tc>
          <w:tcPr>
            <w:tcW w:w="580" w:type="dxa"/>
            <w:tcBorders>
              <w:top w:val="single" w:color="339966" w:sz="6" w:space="0"/>
              <w:left w:val="single" w:color="339966" w:sz="4" w:space="0"/>
              <w:bottom w:val="single" w:color="339966" w:sz="12" w:space="0"/>
              <w:right w:val="single" w:color="339966" w:sz="4" w:space="0"/>
            </w:tcBorders>
            <w:vAlign w:val="center"/>
          </w:tcPr>
          <w:p>
            <w:pPr>
              <w:jc w:val="center"/>
              <w:rPr>
                <w:color w:val="000000"/>
                <w:sz w:val="24"/>
              </w:rPr>
            </w:pPr>
            <w:r>
              <w:rPr>
                <w:sz w:val="24"/>
              </w:rPr>
              <w:t>0</w:t>
            </w:r>
          </w:p>
        </w:tc>
        <w:tc>
          <w:tcPr>
            <w:tcW w:w="590" w:type="dxa"/>
            <w:tcBorders>
              <w:top w:val="single" w:color="339966" w:sz="6" w:space="0"/>
              <w:left w:val="single" w:color="339966" w:sz="4" w:space="0"/>
              <w:bottom w:val="single" w:color="339966" w:sz="12" w:space="0"/>
              <w:right w:val="single" w:color="339966" w:sz="4" w:space="0"/>
            </w:tcBorders>
            <w:vAlign w:val="center"/>
          </w:tcPr>
          <w:p>
            <w:pPr>
              <w:jc w:val="center"/>
              <w:rPr>
                <w:sz w:val="24"/>
              </w:rPr>
            </w:pPr>
            <w:r>
              <w:rPr>
                <w:rFonts w:hint="eastAsia"/>
                <w:sz w:val="24"/>
              </w:rPr>
              <w:t>1.49</w:t>
            </w:r>
          </w:p>
        </w:tc>
        <w:tc>
          <w:tcPr>
            <w:tcW w:w="570" w:type="dxa"/>
            <w:tcBorders>
              <w:top w:val="single" w:color="339966" w:sz="6" w:space="0"/>
              <w:left w:val="single" w:color="339966" w:sz="4" w:space="0"/>
              <w:bottom w:val="single" w:color="339966" w:sz="12" w:space="0"/>
            </w:tcBorders>
            <w:vAlign w:val="center"/>
          </w:tcPr>
          <w:p>
            <w:pPr>
              <w:jc w:val="center"/>
              <w:rPr>
                <w:sz w:val="24"/>
              </w:rPr>
            </w:pPr>
            <w:r>
              <w:rPr>
                <w:rFonts w:hint="eastAsia"/>
                <w:sz w:val="24"/>
              </w:rPr>
              <w:t>0.08</w:t>
            </w:r>
          </w:p>
        </w:tc>
        <w:tc>
          <w:tcPr>
            <w:tcW w:w="532" w:type="dxa"/>
            <w:tcBorders>
              <w:top w:val="single" w:color="339966" w:sz="6" w:space="0"/>
              <w:left w:val="single" w:color="339966" w:sz="4" w:space="0"/>
              <w:bottom w:val="single" w:color="339966" w:sz="12" w:space="0"/>
            </w:tcBorders>
            <w:vAlign w:val="center"/>
          </w:tcPr>
          <w:p>
            <w:pPr>
              <w:jc w:val="center"/>
              <w:rPr>
                <w:sz w:val="24"/>
              </w:rPr>
            </w:pPr>
          </w:p>
        </w:tc>
      </w:tr>
    </w:tbl>
    <w:p>
      <w:pPr>
        <w:pStyle w:val="119"/>
        <w:spacing w:line="240" w:lineRule="auto"/>
        <w:ind w:firstLine="0" w:firstLineChars="0"/>
        <w:rPr>
          <w:rFonts w:ascii="Times New Roman" w:hAnsi="Times New Roman" w:eastAsia="Times New Roman"/>
          <w:color w:val="000000"/>
          <w:szCs w:val="24"/>
        </w:rPr>
      </w:pPr>
      <w:r>
        <w:rPr>
          <w:rFonts w:ascii="Times New Roman" w:hAnsi="Times New Roman" w:eastAsia="Times New Roman"/>
          <w:color w:val="000000"/>
          <w:szCs w:val="24"/>
        </w:rPr>
        <w:t xml:space="preserve">Source: China Foreign Exchange Trade System. </w:t>
      </w:r>
    </w:p>
    <w:p>
      <w:pPr>
        <w:pStyle w:val="119"/>
        <w:spacing w:line="240" w:lineRule="auto"/>
        <w:ind w:firstLine="0" w:firstLineChars="0"/>
        <w:rPr>
          <w:rFonts w:ascii="Times New Roman" w:hAnsi="Times New Roman" w:eastAsia="Times New Roman"/>
          <w:color w:val="000000"/>
          <w:szCs w:val="24"/>
        </w:rPr>
      </w:pPr>
    </w:p>
    <w:p>
      <w:pPr>
        <w:rPr>
          <w:rFonts w:eastAsia="Times New Roman"/>
          <w:kern w:val="0"/>
          <w:sz w:val="24"/>
        </w:rPr>
      </w:pPr>
      <w:r>
        <w:rPr>
          <w:rFonts w:eastAsia="Times New Roman"/>
          <w:color w:val="000000"/>
          <w:sz w:val="24"/>
        </w:rPr>
        <w:t>At end-March</w:t>
      </w:r>
      <w:r>
        <w:rPr>
          <w:rFonts w:eastAsia="Times New Roman"/>
          <w:kern w:val="0"/>
          <w:sz w:val="24"/>
        </w:rPr>
        <w:t xml:space="preserve">, under the bilateral currency swap agreements between the PBC and foreign monetary authorities, the latter utilized a total of RMB </w:t>
      </w:r>
      <w:r>
        <w:rPr>
          <w:rFonts w:hint="eastAsia" w:eastAsiaTheme="minorEastAsia"/>
          <w:kern w:val="0"/>
          <w:sz w:val="24"/>
        </w:rPr>
        <w:t>22.072</w:t>
      </w:r>
      <w:r>
        <w:rPr>
          <w:rFonts w:hint="eastAsia"/>
          <w:kern w:val="0"/>
          <w:sz w:val="24"/>
        </w:rPr>
        <w:t xml:space="preserve"> </w:t>
      </w:r>
      <w:r>
        <w:rPr>
          <w:rFonts w:eastAsia="Times New Roman"/>
          <w:kern w:val="0"/>
          <w:sz w:val="24"/>
        </w:rPr>
        <w:t xml:space="preserve">billion and the former used the equivalent of USD </w:t>
      </w:r>
      <w:r>
        <w:rPr>
          <w:rFonts w:hint="eastAsia" w:eastAsiaTheme="minorEastAsia"/>
          <w:kern w:val="0"/>
          <w:sz w:val="24"/>
        </w:rPr>
        <w:t>0.601</w:t>
      </w:r>
      <w:r>
        <w:rPr>
          <w:rFonts w:eastAsia="Times New Roman"/>
          <w:kern w:val="0"/>
          <w:sz w:val="24"/>
        </w:rPr>
        <w:t xml:space="preserve"> billion of foreign currency. These operations played a positive role in promoting bilateral trade and investment. </w:t>
      </w:r>
    </w:p>
    <w:p>
      <w:pPr>
        <w:rPr>
          <w:rFonts w:eastAsia="Times New Roman"/>
          <w:kern w:val="0"/>
          <w:sz w:val="24"/>
        </w:rPr>
      </w:pPr>
    </w:p>
    <w:p>
      <w:pPr>
        <w:pStyle w:val="3"/>
        <w:ind w:firstLine="0" w:firstLineChars="0"/>
        <w:rPr>
          <w:b w:val="0"/>
          <w:bCs w:val="0"/>
          <w:sz w:val="24"/>
          <w:szCs w:val="24"/>
        </w:rPr>
      </w:pPr>
      <w:bookmarkStart w:id="79" w:name="_Toc26309"/>
      <w:bookmarkStart w:id="80" w:name="_Toc517190513"/>
      <w:r>
        <w:rPr>
          <w:rFonts w:hint="eastAsia" w:ascii="Times New Roman" w:hAnsi="Times New Roman"/>
          <w:sz w:val="24"/>
          <w:szCs w:val="24"/>
        </w:rPr>
        <w:t xml:space="preserve">VIII. </w:t>
      </w:r>
      <w:r>
        <w:rPr>
          <w:rFonts w:ascii="Times New Roman" w:hAnsi="Times New Roman"/>
          <w:sz w:val="24"/>
          <w:szCs w:val="24"/>
        </w:rPr>
        <w:t xml:space="preserve">Deepening the Reform of Financial </w:t>
      </w:r>
      <w:bookmarkEnd w:id="79"/>
      <w:r>
        <w:rPr>
          <w:rFonts w:ascii="Times New Roman" w:hAnsi="Times New Roman"/>
          <w:sz w:val="24"/>
          <w:szCs w:val="24"/>
        </w:rPr>
        <w:t>Institutions</w:t>
      </w:r>
      <w:bookmarkEnd w:id="80"/>
      <w:r>
        <w:rPr>
          <w:rFonts w:ascii="Times New Roman" w:hAnsi="Times New Roman"/>
          <w:sz w:val="24"/>
          <w:szCs w:val="24"/>
        </w:rPr>
        <w:t xml:space="preserve"> </w:t>
      </w:r>
    </w:p>
    <w:p>
      <w:pPr>
        <w:rPr>
          <w:color w:val="000000"/>
          <w:sz w:val="24"/>
        </w:rPr>
      </w:pPr>
      <w:r>
        <w:rPr>
          <w:b/>
          <w:bCs/>
          <w:color w:val="000000"/>
          <w:sz w:val="24"/>
        </w:rPr>
        <w:t>The reform plan for development and policy financial institutions has been fully implemented.</w:t>
      </w:r>
      <w:r>
        <w:rPr>
          <w:color w:val="000000"/>
          <w:sz w:val="24"/>
        </w:rPr>
        <w:t xml:space="preserve"> The PBC, together with members of the reform working group, </w:t>
      </w:r>
      <w:r>
        <w:rPr>
          <w:rFonts w:hint="eastAsia"/>
          <w:color w:val="000000"/>
          <w:sz w:val="24"/>
        </w:rPr>
        <w:t xml:space="preserve">systematically </w:t>
      </w:r>
      <w:r>
        <w:rPr>
          <w:color w:val="000000"/>
          <w:sz w:val="24"/>
        </w:rPr>
        <w:t>advanc</w:t>
      </w:r>
      <w:r>
        <w:rPr>
          <w:rFonts w:hint="eastAsia"/>
          <w:color w:val="000000"/>
          <w:sz w:val="24"/>
        </w:rPr>
        <w:t>ed</w:t>
      </w:r>
      <w:r>
        <w:rPr>
          <w:color w:val="000000"/>
          <w:sz w:val="24"/>
        </w:rPr>
        <w:t xml:space="preserve"> </w:t>
      </w:r>
      <w:r>
        <w:rPr>
          <w:rFonts w:hint="eastAsia"/>
          <w:color w:val="000000"/>
          <w:sz w:val="24"/>
        </w:rPr>
        <w:t xml:space="preserve">the </w:t>
      </w:r>
      <w:r>
        <w:rPr>
          <w:color w:val="000000"/>
          <w:sz w:val="24"/>
        </w:rPr>
        <w:t xml:space="preserve">reform </w:t>
      </w:r>
      <w:r>
        <w:rPr>
          <w:rFonts w:hint="eastAsia"/>
          <w:color w:val="000000"/>
          <w:sz w:val="24"/>
        </w:rPr>
        <w:t>through</w:t>
      </w:r>
      <w:r>
        <w:rPr>
          <w:color w:val="000000"/>
          <w:sz w:val="24"/>
        </w:rPr>
        <w:t xml:space="preserve"> </w:t>
      </w:r>
      <w:r>
        <w:rPr>
          <w:rFonts w:hint="eastAsia"/>
          <w:color w:val="000000"/>
          <w:sz w:val="24"/>
        </w:rPr>
        <w:t xml:space="preserve">measures </w:t>
      </w:r>
      <w:r>
        <w:rPr>
          <w:color w:val="000000"/>
          <w:sz w:val="24"/>
        </w:rPr>
        <w:t>such as establishing and improving the role of the board of directors and the governance structure and clarifying the business scope of the</w:t>
      </w:r>
      <w:r>
        <w:rPr>
          <w:sz w:val="24"/>
        </w:rPr>
        <w:t xml:space="preserve"> </w:t>
      </w:r>
      <w:r>
        <w:rPr>
          <w:rFonts w:hint="eastAsia"/>
          <w:sz w:val="24"/>
        </w:rPr>
        <w:t>relevant</w:t>
      </w:r>
      <w:r>
        <w:rPr>
          <w:sz w:val="24"/>
        </w:rPr>
        <w:t xml:space="preserve"> b</w:t>
      </w:r>
      <w:r>
        <w:rPr>
          <w:color w:val="000000"/>
          <w:sz w:val="24"/>
        </w:rPr>
        <w:t>anks.</w:t>
      </w:r>
      <w:r>
        <w:rPr>
          <w:rFonts w:hint="eastAsia"/>
          <w:color w:val="000000"/>
          <w:sz w:val="24"/>
        </w:rPr>
        <w:t xml:space="preserve"> In particular,</w:t>
      </w:r>
      <w:r>
        <w:rPr>
          <w:color w:val="000000"/>
          <w:sz w:val="24"/>
        </w:rPr>
        <w:t xml:space="preserve"> new boards of directors for the CDB and for the China EximBank were established and </w:t>
      </w:r>
      <w:r>
        <w:rPr>
          <w:rFonts w:hint="eastAsia"/>
          <w:color w:val="000000"/>
          <w:sz w:val="24"/>
        </w:rPr>
        <w:t>have operated effectively</w:t>
      </w:r>
      <w:r>
        <w:rPr>
          <w:color w:val="000000"/>
          <w:sz w:val="24"/>
        </w:rPr>
        <w:t xml:space="preserve">. </w:t>
      </w:r>
    </w:p>
    <w:p>
      <w:pPr>
        <w:rPr>
          <w:color w:val="000000"/>
          <w:sz w:val="24"/>
        </w:rPr>
      </w:pPr>
    </w:p>
    <w:p>
      <w:pPr>
        <w:rPr>
          <w:color w:val="000000"/>
          <w:sz w:val="24"/>
        </w:rPr>
      </w:pPr>
      <w:r>
        <w:rPr>
          <w:b/>
          <w:bCs/>
          <w:color w:val="000000"/>
          <w:sz w:val="24"/>
        </w:rPr>
        <w:t xml:space="preserve">The deposit insurance scheme </w:t>
      </w:r>
      <w:r>
        <w:rPr>
          <w:rFonts w:hint="eastAsia"/>
          <w:b/>
          <w:bCs/>
          <w:color w:val="000000"/>
          <w:sz w:val="24"/>
        </w:rPr>
        <w:t>was</w:t>
      </w:r>
      <w:r>
        <w:rPr>
          <w:b/>
          <w:bCs/>
          <w:color w:val="000000"/>
          <w:sz w:val="24"/>
        </w:rPr>
        <w:t xml:space="preserve"> improved.</w:t>
      </w:r>
      <w:r>
        <w:rPr>
          <w:rFonts w:hint="eastAsia"/>
          <w:b/>
          <w:bCs/>
          <w:color w:val="000000"/>
          <w:sz w:val="24"/>
        </w:rPr>
        <w:t xml:space="preserve"> </w:t>
      </w:r>
      <w:r>
        <w:rPr>
          <w:color w:val="000000"/>
          <w:sz w:val="24"/>
        </w:rPr>
        <w:t xml:space="preserve">Since implementation of the </w:t>
      </w:r>
      <w:r>
        <w:rPr>
          <w:i/>
          <w:iCs/>
          <w:color w:val="000000"/>
          <w:sz w:val="24"/>
        </w:rPr>
        <w:t>Regulations on Deposit Insurance</w:t>
      </w:r>
      <w:r>
        <w:rPr>
          <w:color w:val="000000"/>
          <w:sz w:val="24"/>
        </w:rPr>
        <w:t xml:space="preserve"> of May 1, 2015, relevant work has proceeded smoothly.</w:t>
      </w:r>
      <w:r>
        <w:rPr>
          <w:rFonts w:hint="eastAsia"/>
          <w:color w:val="000000"/>
          <w:sz w:val="24"/>
        </w:rPr>
        <w:t xml:space="preserve"> D</w:t>
      </w:r>
      <w:r>
        <w:rPr>
          <w:color w:val="000000"/>
          <w:sz w:val="24"/>
        </w:rPr>
        <w:t>eposits in financial institutions</w:t>
      </w:r>
      <w:r>
        <w:rPr>
          <w:rFonts w:hint="eastAsia"/>
          <w:color w:val="000000"/>
          <w:sz w:val="24"/>
        </w:rPr>
        <w:t xml:space="preserve"> </w:t>
      </w:r>
      <w:r>
        <w:rPr>
          <w:color w:val="000000"/>
          <w:sz w:val="24"/>
        </w:rPr>
        <w:t xml:space="preserve">have grown steadily, </w:t>
      </w:r>
      <w:r>
        <w:rPr>
          <w:rFonts w:hint="eastAsia"/>
          <w:color w:val="000000"/>
          <w:sz w:val="24"/>
        </w:rPr>
        <w:t xml:space="preserve">while </w:t>
      </w:r>
      <w:r>
        <w:rPr>
          <w:color w:val="000000"/>
          <w:sz w:val="24"/>
        </w:rPr>
        <w:t>the structure of deposits in large, medium-sized, and small banks has remained stable. The insurance limit of RMB 500,000 covers 99.6 percent of all depositors and has remained stable. The PBC</w:t>
      </w:r>
      <w:r>
        <w:rPr>
          <w:rFonts w:hint="eastAsia"/>
          <w:color w:val="000000"/>
          <w:sz w:val="24"/>
        </w:rPr>
        <w:t xml:space="preserve"> has </w:t>
      </w:r>
      <w:r>
        <w:rPr>
          <w:color w:val="000000"/>
          <w:sz w:val="24"/>
        </w:rPr>
        <w:t xml:space="preserve">continued to implement a risk-based differentiated premium-rate arrangement and has </w:t>
      </w:r>
      <w:r>
        <w:rPr>
          <w:rFonts w:hint="eastAsia"/>
          <w:color w:val="000000"/>
          <w:sz w:val="24"/>
        </w:rPr>
        <w:t xml:space="preserve">explored ways </w:t>
      </w:r>
      <w:r>
        <w:rPr>
          <w:color w:val="000000"/>
          <w:sz w:val="24"/>
        </w:rPr>
        <w:t>to improve risk insurance assessments and the premium-rate mechanism</w:t>
      </w:r>
      <w:r>
        <w:rPr>
          <w:rFonts w:hint="eastAsia"/>
          <w:color w:val="000000"/>
          <w:sz w:val="24"/>
        </w:rPr>
        <w:t xml:space="preserve"> </w:t>
      </w:r>
      <w:r>
        <w:rPr>
          <w:color w:val="000000"/>
          <w:sz w:val="24"/>
        </w:rPr>
        <w:t xml:space="preserve">so that the differentiated premium-rate arrangement will provide positive incentives and will limit risks. </w:t>
      </w:r>
      <w:r>
        <w:rPr>
          <w:rFonts w:hint="eastAsia"/>
          <w:color w:val="000000"/>
          <w:sz w:val="24"/>
        </w:rPr>
        <w:t xml:space="preserve">Additionally, </w:t>
      </w:r>
      <w:r>
        <w:rPr>
          <w:color w:val="000000"/>
          <w:sz w:val="24"/>
        </w:rPr>
        <w:t>t</w:t>
      </w:r>
      <w:r>
        <w:rPr>
          <w:rFonts w:hint="eastAsia"/>
          <w:color w:val="000000"/>
          <w:sz w:val="24"/>
        </w:rPr>
        <w:t>he PBC made effort</w:t>
      </w:r>
      <w:r>
        <w:rPr>
          <w:color w:val="000000"/>
          <w:sz w:val="24"/>
        </w:rPr>
        <w:t>s</w:t>
      </w:r>
      <w:r>
        <w:rPr>
          <w:rFonts w:hint="eastAsia"/>
          <w:color w:val="000000"/>
          <w:sz w:val="24"/>
        </w:rPr>
        <w:t xml:space="preserve"> to monitor and identify risks </w:t>
      </w:r>
      <w:r>
        <w:rPr>
          <w:color w:val="000000"/>
          <w:sz w:val="24"/>
        </w:rPr>
        <w:t>by</w:t>
      </w:r>
      <w:r>
        <w:rPr>
          <w:rFonts w:hint="eastAsia"/>
          <w:color w:val="000000"/>
          <w:sz w:val="24"/>
        </w:rPr>
        <w:t xml:space="preserve"> </w:t>
      </w:r>
      <w:r>
        <w:rPr>
          <w:color w:val="000000"/>
          <w:sz w:val="24"/>
        </w:rPr>
        <w:t>strengthe</w:t>
      </w:r>
      <w:r>
        <w:rPr>
          <w:rFonts w:hint="eastAsia"/>
          <w:color w:val="000000"/>
          <w:sz w:val="24"/>
        </w:rPr>
        <w:t>ning</w:t>
      </w:r>
      <w:r>
        <w:rPr>
          <w:color w:val="000000"/>
          <w:sz w:val="24"/>
        </w:rPr>
        <w:t xml:space="preserve"> risk monitoring and reviewing of all types of insured institutions</w:t>
      </w:r>
      <w:r>
        <w:rPr>
          <w:rFonts w:hint="eastAsia"/>
          <w:color w:val="000000"/>
          <w:sz w:val="24"/>
        </w:rPr>
        <w:t xml:space="preserve">, thereby </w:t>
      </w:r>
      <w:r>
        <w:rPr>
          <w:color w:val="000000"/>
          <w:sz w:val="24"/>
        </w:rPr>
        <w:t>provid</w:t>
      </w:r>
      <w:r>
        <w:rPr>
          <w:rFonts w:hint="eastAsia"/>
          <w:color w:val="000000"/>
          <w:sz w:val="24"/>
        </w:rPr>
        <w:t>ing</w:t>
      </w:r>
      <w:r>
        <w:rPr>
          <w:color w:val="000000"/>
          <w:sz w:val="24"/>
        </w:rPr>
        <w:t xml:space="preserve"> risk warnings</w:t>
      </w:r>
      <w:r>
        <w:rPr>
          <w:rFonts w:hint="eastAsia"/>
          <w:color w:val="000000"/>
          <w:sz w:val="24"/>
        </w:rPr>
        <w:t xml:space="preserve"> </w:t>
      </w:r>
      <w:r>
        <w:rPr>
          <w:color w:val="000000"/>
          <w:sz w:val="24"/>
        </w:rPr>
        <w:t>and carr</w:t>
      </w:r>
      <w:r>
        <w:rPr>
          <w:rFonts w:hint="eastAsia"/>
          <w:color w:val="000000"/>
          <w:sz w:val="24"/>
        </w:rPr>
        <w:t>ying</w:t>
      </w:r>
      <w:r>
        <w:rPr>
          <w:color w:val="000000"/>
          <w:sz w:val="24"/>
        </w:rPr>
        <w:t xml:space="preserve"> out early corrections. </w:t>
      </w:r>
      <w:r>
        <w:rPr>
          <w:rFonts w:hint="eastAsia"/>
          <w:color w:val="000000"/>
          <w:sz w:val="24"/>
        </w:rPr>
        <w:t>T</w:t>
      </w:r>
      <w:r>
        <w:rPr>
          <w:color w:val="000000"/>
          <w:sz w:val="24"/>
        </w:rPr>
        <w:t xml:space="preserve">he PBC </w:t>
      </w:r>
      <w:r>
        <w:rPr>
          <w:rFonts w:hint="eastAsia"/>
          <w:color w:val="000000"/>
          <w:sz w:val="24"/>
        </w:rPr>
        <w:t xml:space="preserve">also actively </w:t>
      </w:r>
      <w:r>
        <w:rPr>
          <w:color w:val="000000"/>
          <w:sz w:val="24"/>
        </w:rPr>
        <w:t>communicated and coordinated with local governments and supervisory bodies to promote risk resolution in accordance with</w:t>
      </w:r>
      <w:r>
        <w:rPr>
          <w:rFonts w:hint="eastAsia"/>
          <w:color w:val="000000"/>
          <w:sz w:val="24"/>
        </w:rPr>
        <w:t xml:space="preserve"> </w:t>
      </w:r>
      <w:r>
        <w:rPr>
          <w:color w:val="000000"/>
          <w:sz w:val="24"/>
        </w:rPr>
        <w:t xml:space="preserve">the rules and regulations. </w:t>
      </w:r>
      <w:r>
        <w:rPr>
          <w:rFonts w:hint="eastAsia"/>
          <w:color w:val="000000"/>
          <w:sz w:val="24"/>
        </w:rPr>
        <w:t xml:space="preserve">Finally, the PBC </w:t>
      </w:r>
      <w:r>
        <w:rPr>
          <w:color w:val="000000"/>
          <w:sz w:val="24"/>
        </w:rPr>
        <w:t>enhanced public training about deposit insurance and continued regular premium collections and fund management.</w:t>
      </w:r>
      <w:bookmarkStart w:id="81" w:name="_Toc4906"/>
    </w:p>
    <w:p>
      <w:pPr>
        <w:rPr>
          <w:rFonts w:eastAsia="Times New Roman"/>
          <w:kern w:val="0"/>
          <w:sz w:val="24"/>
        </w:rPr>
      </w:pPr>
    </w:p>
    <w:p>
      <w:pPr>
        <w:pStyle w:val="3"/>
        <w:ind w:firstLine="0" w:firstLineChars="0"/>
        <w:rPr>
          <w:rFonts w:ascii="Times New Roman" w:hAnsi="Times New Roman"/>
          <w:sz w:val="24"/>
          <w:szCs w:val="24"/>
        </w:rPr>
      </w:pPr>
      <w:bookmarkStart w:id="82" w:name="_Toc517190514"/>
      <w:r>
        <w:rPr>
          <w:rFonts w:hint="eastAsia" w:ascii="Times New Roman" w:hAnsi="Times New Roman"/>
          <w:sz w:val="24"/>
          <w:szCs w:val="24"/>
        </w:rPr>
        <w:t xml:space="preserve">IX. </w:t>
      </w:r>
      <w:r>
        <w:rPr>
          <w:rFonts w:ascii="Times New Roman" w:hAnsi="Times New Roman"/>
          <w:sz w:val="24"/>
          <w:szCs w:val="24"/>
        </w:rPr>
        <w:t>Deepening Reform of the Foreign-Exchange Administration</w:t>
      </w:r>
      <w:bookmarkEnd w:id="81"/>
      <w:bookmarkEnd w:id="82"/>
    </w:p>
    <w:p>
      <w:pPr>
        <w:rPr>
          <w:rFonts w:eastAsia="Times New Roman"/>
          <w:kern w:val="0"/>
          <w:sz w:val="24"/>
        </w:rPr>
      </w:pPr>
      <w:r>
        <w:rPr>
          <w:rFonts w:hint="eastAsia"/>
          <w:b/>
          <w:bCs/>
          <w:kern w:val="0"/>
          <w:sz w:val="24"/>
        </w:rPr>
        <w:t>Improvements were made in foreign-exchange management to better serve the real economy.</w:t>
      </w:r>
      <w:r>
        <w:rPr>
          <w:rFonts w:hint="eastAsia"/>
          <w:kern w:val="0"/>
          <w:sz w:val="24"/>
        </w:rPr>
        <w:t xml:space="preserve"> </w:t>
      </w:r>
      <w:r>
        <w:rPr>
          <w:rFonts w:eastAsia="Times New Roman"/>
          <w:kern w:val="0"/>
          <w:sz w:val="24"/>
        </w:rPr>
        <w:t xml:space="preserve">First, </w:t>
      </w:r>
      <w:r>
        <w:rPr>
          <w:rFonts w:hint="eastAsia"/>
          <w:kern w:val="0"/>
          <w:sz w:val="24"/>
        </w:rPr>
        <w:t xml:space="preserve">efforts were made to better exercise law-based governance and </w:t>
      </w:r>
      <w:r>
        <w:rPr>
          <w:kern w:val="0"/>
          <w:sz w:val="24"/>
        </w:rPr>
        <w:t xml:space="preserve">to </w:t>
      </w:r>
      <w:r>
        <w:rPr>
          <w:rFonts w:hint="eastAsia"/>
          <w:kern w:val="0"/>
          <w:sz w:val="24"/>
        </w:rPr>
        <w:t>deepen reforms</w:t>
      </w:r>
      <w:r>
        <w:rPr>
          <w:kern w:val="0"/>
          <w:sz w:val="24"/>
        </w:rPr>
        <w:t xml:space="preserve"> so as to</w:t>
      </w:r>
      <w:r>
        <w:rPr>
          <w:rFonts w:hint="eastAsia"/>
          <w:kern w:val="0"/>
          <w:sz w:val="24"/>
        </w:rPr>
        <w:t xml:space="preserve"> streamline administration, delegate powers, and improve regulation</w:t>
      </w:r>
      <w:r>
        <w:rPr>
          <w:kern w:val="0"/>
          <w:sz w:val="24"/>
        </w:rPr>
        <w:t>s</w:t>
      </w:r>
      <w:r>
        <w:rPr>
          <w:rFonts w:hint="eastAsia"/>
          <w:kern w:val="0"/>
          <w:sz w:val="24"/>
        </w:rPr>
        <w:t xml:space="preserve"> and services. </w:t>
      </w:r>
      <w:r>
        <w:rPr>
          <w:kern w:val="0"/>
          <w:sz w:val="24"/>
        </w:rPr>
        <w:t>The</w:t>
      </w:r>
      <w:r>
        <w:rPr>
          <w:rFonts w:hint="eastAsia"/>
          <w:kern w:val="0"/>
          <w:sz w:val="24"/>
        </w:rPr>
        <w:t xml:space="preserve"> PBC has consistently taken steps to streamline administration, modify or abolish outdated</w:t>
      </w:r>
      <w:r>
        <w:rPr>
          <w:rFonts w:eastAsia="Times New Roman"/>
          <w:kern w:val="0"/>
          <w:sz w:val="24"/>
        </w:rPr>
        <w:t xml:space="preserve"> regulations</w:t>
      </w:r>
      <w:r>
        <w:rPr>
          <w:rFonts w:hint="eastAsia"/>
          <w:kern w:val="0"/>
          <w:sz w:val="24"/>
        </w:rPr>
        <w:t xml:space="preserve">, and improve the Internet Plus Government Services model as well as the quality and efficiency of foreign-exchange management. Second, </w:t>
      </w:r>
      <w:r>
        <w:rPr>
          <w:rFonts w:eastAsia="Times New Roman"/>
          <w:kern w:val="0"/>
          <w:sz w:val="24"/>
        </w:rPr>
        <w:t xml:space="preserve">efforts have been made to </w:t>
      </w:r>
      <w:r>
        <w:rPr>
          <w:rFonts w:hint="eastAsia"/>
          <w:kern w:val="0"/>
          <w:sz w:val="24"/>
        </w:rPr>
        <w:t>support</w:t>
      </w:r>
      <w:r>
        <w:rPr>
          <w:rFonts w:eastAsia="Times New Roman"/>
          <w:kern w:val="0"/>
          <w:sz w:val="24"/>
        </w:rPr>
        <w:t xml:space="preserve"> new forms and models. </w:t>
      </w:r>
      <w:r>
        <w:rPr>
          <w:rFonts w:hint="eastAsia"/>
          <w:kern w:val="0"/>
          <w:sz w:val="24"/>
        </w:rPr>
        <w:t>o</w:t>
      </w:r>
      <w:r>
        <w:rPr>
          <w:rFonts w:eastAsia="Times New Roman"/>
          <w:kern w:val="0"/>
          <w:sz w:val="24"/>
        </w:rPr>
        <w:t xml:space="preserve">f trade. The PBC </w:t>
      </w:r>
      <w:r>
        <w:rPr>
          <w:rFonts w:hint="eastAsia"/>
          <w:kern w:val="0"/>
          <w:sz w:val="24"/>
        </w:rPr>
        <w:t xml:space="preserve">supported the development of </w:t>
      </w:r>
      <w:r>
        <w:rPr>
          <w:rFonts w:eastAsia="Times New Roman"/>
          <w:kern w:val="0"/>
          <w:sz w:val="24"/>
        </w:rPr>
        <w:t>cross-border</w:t>
      </w:r>
      <w:r>
        <w:rPr>
          <w:rFonts w:hint="eastAsia"/>
          <w:kern w:val="0"/>
          <w:sz w:val="24"/>
        </w:rPr>
        <w:t xml:space="preserve"> </w:t>
      </w:r>
      <w:r>
        <w:rPr>
          <w:rFonts w:eastAsia="Times New Roman"/>
          <w:kern w:val="0"/>
          <w:sz w:val="24"/>
        </w:rPr>
        <w:t>foreign-exchange payments by third-party payment institutions</w:t>
      </w:r>
      <w:r>
        <w:rPr>
          <w:rFonts w:hint="eastAsia"/>
          <w:kern w:val="0"/>
          <w:sz w:val="24"/>
        </w:rPr>
        <w:t>, comprehensive experimental zones for cross-border e-commerce</w:t>
      </w:r>
      <w:r>
        <w:rPr>
          <w:rFonts w:eastAsia="Times New Roman"/>
          <w:kern w:val="0"/>
          <w:sz w:val="24"/>
        </w:rPr>
        <w:t>,</w:t>
      </w:r>
      <w:r>
        <w:rPr>
          <w:rFonts w:hint="eastAsia"/>
          <w:kern w:val="0"/>
          <w:sz w:val="24"/>
        </w:rPr>
        <w:t xml:space="preserve"> private</w:t>
      </w:r>
      <w:r>
        <w:rPr>
          <w:kern w:val="0"/>
          <w:sz w:val="24"/>
        </w:rPr>
        <w:t>-</w:t>
      </w:r>
      <w:r>
        <w:rPr>
          <w:rFonts w:hint="eastAsia"/>
          <w:kern w:val="0"/>
          <w:sz w:val="24"/>
        </w:rPr>
        <w:t>sector</w:t>
      </w:r>
      <w:r>
        <w:rPr>
          <w:rFonts w:eastAsia="Times New Roman"/>
          <w:kern w:val="0"/>
          <w:sz w:val="24"/>
        </w:rPr>
        <w:t xml:space="preserve"> procurement, and enterprises that provide comprehensive foreign-trade services</w:t>
      </w:r>
      <w:r>
        <w:rPr>
          <w:rFonts w:hint="eastAsia"/>
          <w:kern w:val="0"/>
          <w:sz w:val="24"/>
        </w:rPr>
        <w:t>, while regulating their related activities.</w:t>
      </w:r>
      <w:r>
        <w:rPr>
          <w:rFonts w:eastAsia="Times New Roman"/>
          <w:kern w:val="0"/>
          <w:sz w:val="24"/>
        </w:rPr>
        <w:t xml:space="preserve"> </w:t>
      </w:r>
      <w:r>
        <w:rPr>
          <w:rFonts w:hint="eastAsia"/>
          <w:kern w:val="0"/>
          <w:sz w:val="24"/>
        </w:rPr>
        <w:t xml:space="preserve">Third, efforts were made to advance the development of </w:t>
      </w:r>
      <w:r>
        <w:rPr>
          <w:kern w:val="0"/>
          <w:sz w:val="24"/>
        </w:rPr>
        <w:t>f</w:t>
      </w:r>
      <w:r>
        <w:rPr>
          <w:rFonts w:hint="eastAsia"/>
          <w:kern w:val="0"/>
          <w:sz w:val="24"/>
        </w:rPr>
        <w:t xml:space="preserve">ree </w:t>
      </w:r>
      <w:r>
        <w:rPr>
          <w:kern w:val="0"/>
          <w:sz w:val="24"/>
        </w:rPr>
        <w:t>t</w:t>
      </w:r>
      <w:r>
        <w:rPr>
          <w:rFonts w:hint="eastAsia"/>
          <w:kern w:val="0"/>
          <w:sz w:val="24"/>
        </w:rPr>
        <w:t xml:space="preserve">rade </w:t>
      </w:r>
      <w:r>
        <w:rPr>
          <w:kern w:val="0"/>
          <w:sz w:val="24"/>
        </w:rPr>
        <w:t>z</w:t>
      </w:r>
      <w:r>
        <w:rPr>
          <w:rFonts w:hint="eastAsia"/>
          <w:kern w:val="0"/>
          <w:sz w:val="24"/>
        </w:rPr>
        <w:t>ones. The PBC put forward a host of reform measures to simplify the review process for foreign</w:t>
      </w:r>
      <w:r>
        <w:rPr>
          <w:kern w:val="0"/>
          <w:sz w:val="24"/>
        </w:rPr>
        <w:t>-</w:t>
      </w:r>
      <w:r>
        <w:rPr>
          <w:rFonts w:hint="eastAsia"/>
          <w:kern w:val="0"/>
          <w:sz w:val="24"/>
        </w:rPr>
        <w:t>exchange purchase</w:t>
      </w:r>
      <w:r>
        <w:rPr>
          <w:kern w:val="0"/>
          <w:sz w:val="24"/>
        </w:rPr>
        <w:t>s</w:t>
      </w:r>
      <w:r>
        <w:rPr>
          <w:rFonts w:hint="eastAsia"/>
          <w:kern w:val="0"/>
          <w:sz w:val="24"/>
        </w:rPr>
        <w:t xml:space="preserve"> and settlement</w:t>
      </w:r>
      <w:r>
        <w:rPr>
          <w:kern w:val="0"/>
          <w:sz w:val="24"/>
        </w:rPr>
        <w:t>s</w:t>
      </w:r>
      <w:r>
        <w:rPr>
          <w:rFonts w:hint="eastAsia"/>
          <w:kern w:val="0"/>
          <w:sz w:val="24"/>
        </w:rPr>
        <w:t xml:space="preserve"> under the current account, which facilitated business for enterprises and contributed to standardizing management of </w:t>
      </w:r>
      <w:r>
        <w:rPr>
          <w:kern w:val="0"/>
          <w:sz w:val="24"/>
        </w:rPr>
        <w:t xml:space="preserve">the </w:t>
      </w:r>
      <w:r>
        <w:rPr>
          <w:rFonts w:hint="eastAsia"/>
          <w:kern w:val="0"/>
          <w:sz w:val="24"/>
        </w:rPr>
        <w:t>Bonded Logistics Centers.</w:t>
      </w:r>
      <w:r>
        <w:rPr>
          <w:rFonts w:eastAsia="Times New Roman"/>
          <w:kern w:val="0"/>
          <w:sz w:val="24"/>
        </w:rPr>
        <w:br w:type="textWrapping"/>
      </w:r>
    </w:p>
    <w:p>
      <w:pPr>
        <w:rPr>
          <w:kern w:val="0"/>
          <w:sz w:val="24"/>
        </w:rPr>
      </w:pPr>
      <w:r>
        <w:rPr>
          <w:rFonts w:hint="eastAsia"/>
          <w:b/>
          <w:bCs/>
          <w:kern w:val="0"/>
          <w:sz w:val="24"/>
        </w:rPr>
        <w:t>Reforms in key areas deepened.</w:t>
      </w:r>
      <w:r>
        <w:rPr>
          <w:rFonts w:hint="eastAsia"/>
          <w:kern w:val="0"/>
          <w:sz w:val="24"/>
        </w:rPr>
        <w:t xml:space="preserve"> First, reforms to the Qualified Domestic Institutional Investor (QDII) scheme </w:t>
      </w:r>
      <w:r>
        <w:rPr>
          <w:kern w:val="0"/>
          <w:sz w:val="24"/>
        </w:rPr>
        <w:t xml:space="preserve">were </w:t>
      </w:r>
      <w:r>
        <w:rPr>
          <w:rFonts w:hint="eastAsia"/>
          <w:kern w:val="0"/>
          <w:sz w:val="24"/>
        </w:rPr>
        <w:t>advanced steadily, as the PBC worked out specific arrangements in the QDII scheme that fit</w:t>
      </w:r>
      <w:r>
        <w:rPr>
          <w:kern w:val="0"/>
          <w:sz w:val="24"/>
        </w:rPr>
        <w:t xml:space="preserve"> the</w:t>
      </w:r>
      <w:r>
        <w:rPr>
          <w:rFonts w:hint="eastAsia"/>
          <w:kern w:val="0"/>
          <w:sz w:val="24"/>
        </w:rPr>
        <w:t xml:space="preserve"> different institutions based on their business type</w:t>
      </w:r>
      <w:r>
        <w:rPr>
          <w:kern w:val="0"/>
          <w:sz w:val="24"/>
        </w:rPr>
        <w:t xml:space="preserve"> so as</w:t>
      </w:r>
      <w:r>
        <w:rPr>
          <w:rFonts w:hint="eastAsia"/>
          <w:kern w:val="0"/>
          <w:sz w:val="24"/>
        </w:rPr>
        <w:t xml:space="preserve"> to better meet the demands of domestic investors </w:t>
      </w:r>
      <w:r>
        <w:rPr>
          <w:kern w:val="0"/>
          <w:sz w:val="24"/>
        </w:rPr>
        <w:t>to allocate</w:t>
      </w:r>
      <w:r>
        <w:rPr>
          <w:rFonts w:hint="eastAsia"/>
          <w:kern w:val="0"/>
          <w:sz w:val="24"/>
        </w:rPr>
        <w:t xml:space="preserve"> their assets globally. Second, domestic derivatives markets</w:t>
      </w:r>
      <w:r>
        <w:rPr>
          <w:kern w:val="0"/>
          <w:sz w:val="24"/>
        </w:rPr>
        <w:t>, such as the</w:t>
      </w:r>
      <w:r>
        <w:rPr>
          <w:rFonts w:hint="eastAsia"/>
          <w:kern w:val="0"/>
          <w:sz w:val="24"/>
        </w:rPr>
        <w:t xml:space="preserve"> commodity futures market</w:t>
      </w:r>
      <w:r>
        <w:rPr>
          <w:kern w:val="0"/>
          <w:sz w:val="24"/>
        </w:rPr>
        <w:t>,</w:t>
      </w:r>
      <w:r>
        <w:rPr>
          <w:rFonts w:hint="eastAsia"/>
          <w:kern w:val="0"/>
          <w:sz w:val="24"/>
        </w:rPr>
        <w:t xml:space="preserve"> were further opened. </w:t>
      </w:r>
      <w:r>
        <w:rPr>
          <w:kern w:val="0"/>
          <w:sz w:val="24"/>
        </w:rPr>
        <w:t>In particular</w:t>
      </w:r>
      <w:r>
        <w:rPr>
          <w:rFonts w:hint="eastAsia"/>
          <w:kern w:val="0"/>
          <w:sz w:val="24"/>
        </w:rPr>
        <w:t xml:space="preserve">, the PBC put forward rules </w:t>
      </w:r>
      <w:r>
        <w:rPr>
          <w:kern w:val="0"/>
          <w:sz w:val="24"/>
        </w:rPr>
        <w:t>for</w:t>
      </w:r>
      <w:r>
        <w:rPr>
          <w:rFonts w:hint="eastAsia"/>
          <w:kern w:val="0"/>
          <w:sz w:val="24"/>
        </w:rPr>
        <w:t xml:space="preserve"> foreign-exchange management o</w:t>
      </w:r>
      <w:r>
        <w:rPr>
          <w:kern w:val="0"/>
          <w:sz w:val="24"/>
        </w:rPr>
        <w:t>f</w:t>
      </w:r>
      <w:r>
        <w:rPr>
          <w:rFonts w:hint="eastAsia"/>
          <w:kern w:val="0"/>
          <w:sz w:val="24"/>
        </w:rPr>
        <w:t xml:space="preserve"> physical deliver</w:t>
      </w:r>
      <w:r>
        <w:rPr>
          <w:kern w:val="0"/>
          <w:sz w:val="24"/>
        </w:rPr>
        <w:t>ies</w:t>
      </w:r>
      <w:r>
        <w:rPr>
          <w:rFonts w:hint="eastAsia"/>
          <w:kern w:val="0"/>
          <w:sz w:val="24"/>
        </w:rPr>
        <w:t xml:space="preserve"> </w:t>
      </w:r>
      <w:r>
        <w:rPr>
          <w:kern w:val="0"/>
          <w:sz w:val="24"/>
        </w:rPr>
        <w:t>of</w:t>
      </w:r>
      <w:r>
        <w:rPr>
          <w:rFonts w:hint="eastAsia"/>
          <w:kern w:val="0"/>
          <w:sz w:val="24"/>
        </w:rPr>
        <w:t xml:space="preserve"> crude oil futures, thereby facilita</w:t>
      </w:r>
      <w:r>
        <w:rPr>
          <w:kern w:val="0"/>
          <w:sz w:val="24"/>
        </w:rPr>
        <w:t>ting</w:t>
      </w:r>
      <w:r>
        <w:rPr>
          <w:rFonts w:hint="eastAsia"/>
          <w:kern w:val="0"/>
          <w:sz w:val="24"/>
        </w:rPr>
        <w:t xml:space="preserve"> the participation of overseas investors in these transactions.</w:t>
      </w:r>
    </w:p>
    <w:p>
      <w:pPr>
        <w:rPr>
          <w:rFonts w:eastAsia="Times New Roman"/>
          <w:kern w:val="0"/>
          <w:sz w:val="24"/>
        </w:rPr>
      </w:pPr>
    </w:p>
    <w:p>
      <w:pPr>
        <w:rPr>
          <w:b/>
          <w:kern w:val="0"/>
          <w:sz w:val="24"/>
        </w:rPr>
      </w:pPr>
      <w:r>
        <w:rPr>
          <w:rFonts w:eastAsia="Times New Roman"/>
          <w:b/>
          <w:bCs/>
          <w:kern w:val="0"/>
          <w:sz w:val="24"/>
        </w:rPr>
        <w:t>Efforts were made to maintain orderly development of the foreign-exchange market.</w:t>
      </w:r>
      <w:r>
        <w:rPr>
          <w:rFonts w:hint="eastAsia"/>
          <w:b/>
          <w:bCs/>
          <w:kern w:val="0"/>
          <w:sz w:val="24"/>
        </w:rPr>
        <w:t xml:space="preserve"> </w:t>
      </w:r>
      <w:r>
        <w:rPr>
          <w:rFonts w:hint="eastAsia"/>
          <w:kern w:val="0"/>
          <w:sz w:val="24"/>
        </w:rPr>
        <w:t>First, the foreign-exchange market self-disciplinary mechanism was improved. In particular, the PBC promulgated seven basic principles for banking business</w:t>
      </w:r>
      <w:r>
        <w:rPr>
          <w:kern w:val="0"/>
          <w:sz w:val="24"/>
        </w:rPr>
        <w:t>es</w:t>
      </w:r>
      <w:r>
        <w:rPr>
          <w:rFonts w:hint="eastAsia"/>
          <w:kern w:val="0"/>
          <w:sz w:val="24"/>
        </w:rPr>
        <w:t xml:space="preserve"> to promote </w:t>
      </w:r>
      <w:r>
        <w:rPr>
          <w:kern w:val="0"/>
          <w:sz w:val="24"/>
        </w:rPr>
        <w:t xml:space="preserve">the </w:t>
      </w:r>
      <w:r>
        <w:rPr>
          <w:rFonts w:hint="eastAsia"/>
          <w:kern w:val="0"/>
          <w:sz w:val="24"/>
        </w:rPr>
        <w:t xml:space="preserve">efficient and stable functioning of </w:t>
      </w:r>
      <w:r>
        <w:rPr>
          <w:kern w:val="0"/>
          <w:sz w:val="24"/>
        </w:rPr>
        <w:t xml:space="preserve">the </w:t>
      </w:r>
      <w:r>
        <w:rPr>
          <w:rFonts w:hint="eastAsia"/>
          <w:kern w:val="0"/>
          <w:sz w:val="24"/>
        </w:rPr>
        <w:t>foreign-exchange market. Second, the PBC took serious measures to combat illegal and criminal activities related to foreign exchange, such as "underground banks" and online foreign</w:t>
      </w:r>
      <w:r>
        <w:rPr>
          <w:kern w:val="0"/>
          <w:sz w:val="24"/>
        </w:rPr>
        <w:t>-</w:t>
      </w:r>
      <w:r>
        <w:rPr>
          <w:rFonts w:hint="eastAsia"/>
          <w:kern w:val="0"/>
          <w:sz w:val="24"/>
        </w:rPr>
        <w:t xml:space="preserve">currency speculation, while </w:t>
      </w:r>
      <w:r>
        <w:rPr>
          <w:kern w:val="0"/>
          <w:sz w:val="24"/>
        </w:rPr>
        <w:t xml:space="preserve">it </w:t>
      </w:r>
      <w:r>
        <w:rPr>
          <w:rFonts w:hint="eastAsia"/>
          <w:kern w:val="0"/>
          <w:sz w:val="24"/>
        </w:rPr>
        <w:t>cooperat</w:t>
      </w:r>
      <w:r>
        <w:rPr>
          <w:kern w:val="0"/>
          <w:sz w:val="24"/>
        </w:rPr>
        <w:t>ed</w:t>
      </w:r>
      <w:r>
        <w:rPr>
          <w:rFonts w:hint="eastAsia"/>
          <w:kern w:val="0"/>
          <w:sz w:val="24"/>
        </w:rPr>
        <w:t xml:space="preserve"> with the relevant departments to crack down on foreign-exchange irregularities based on the laws and regulations.</w:t>
      </w:r>
      <w:bookmarkEnd w:id="60"/>
      <w:bookmarkEnd w:id="61"/>
      <w:bookmarkEnd w:id="62"/>
    </w:p>
    <w:p>
      <w:pPr>
        <w:keepNext/>
        <w:keepLines/>
        <w:spacing w:beforeLines="100" w:afterLines="100"/>
        <w:jc w:val="center"/>
        <w:outlineLvl w:val="0"/>
        <w:rPr>
          <w:rFonts w:eastAsia="仿宋_GB2312"/>
          <w:b/>
          <w:sz w:val="36"/>
          <w:szCs w:val="36"/>
        </w:rPr>
      </w:pPr>
      <w:bookmarkStart w:id="83" w:name="_Toc517190515"/>
      <w:bookmarkStart w:id="84" w:name="_Toc484425029"/>
      <w:r>
        <w:rPr>
          <w:rFonts w:eastAsia="仿宋_GB2312"/>
          <w:b/>
          <w:sz w:val="36"/>
          <w:szCs w:val="36"/>
        </w:rPr>
        <w:t>Part 3 Financial Market Analysis</w:t>
      </w:r>
      <w:bookmarkEnd w:id="83"/>
      <w:bookmarkEnd w:id="84"/>
    </w:p>
    <w:p>
      <w:pPr>
        <w:rPr>
          <w:sz w:val="24"/>
        </w:rPr>
      </w:pPr>
      <w:r>
        <w:rPr>
          <w:sz w:val="24"/>
        </w:rPr>
        <w:t xml:space="preserve">In </w:t>
      </w:r>
      <w:r>
        <w:rPr>
          <w:rFonts w:hint="eastAsia"/>
          <w:sz w:val="24"/>
        </w:rPr>
        <w:t>Q1 2018</w:t>
      </w:r>
      <w:r>
        <w:rPr>
          <w:sz w:val="24"/>
        </w:rPr>
        <w:t xml:space="preserve">, the financial market as a whole operated smoothly. </w:t>
      </w:r>
      <w:r>
        <w:rPr>
          <w:rFonts w:hint="eastAsia"/>
          <w:sz w:val="24"/>
        </w:rPr>
        <w:t>M</w:t>
      </w:r>
      <w:r>
        <w:rPr>
          <w:sz w:val="24"/>
        </w:rPr>
        <w:t xml:space="preserve">oney-market interest rates declined </w:t>
      </w:r>
      <w:r>
        <w:rPr>
          <w:rFonts w:hint="eastAsia"/>
          <w:sz w:val="24"/>
        </w:rPr>
        <w:t xml:space="preserve">modestly </w:t>
      </w:r>
      <w:r>
        <w:rPr>
          <w:sz w:val="24"/>
        </w:rPr>
        <w:t xml:space="preserve">and </w:t>
      </w:r>
      <w:r>
        <w:rPr>
          <w:rFonts w:hint="eastAsia"/>
          <w:sz w:val="24"/>
        </w:rPr>
        <w:t>transactions</w:t>
      </w:r>
      <w:r>
        <w:rPr>
          <w:sz w:val="24"/>
        </w:rPr>
        <w:t xml:space="preserve"> were active. </w:t>
      </w:r>
      <w:r>
        <w:rPr>
          <w:rFonts w:hint="eastAsia"/>
          <w:sz w:val="24"/>
        </w:rPr>
        <w:t>Bond y</w:t>
      </w:r>
      <w:r>
        <w:rPr>
          <w:sz w:val="24"/>
        </w:rPr>
        <w:t>ields and issuance interest rates generally declined, but</w:t>
      </w:r>
      <w:r>
        <w:rPr>
          <w:rFonts w:hint="eastAsia"/>
          <w:sz w:val="24"/>
        </w:rPr>
        <w:t xml:space="preserve"> </w:t>
      </w:r>
      <w:r>
        <w:rPr>
          <w:sz w:val="24"/>
        </w:rPr>
        <w:t>the</w:t>
      </w:r>
      <w:r>
        <w:rPr>
          <w:rFonts w:hint="eastAsia"/>
          <w:sz w:val="24"/>
        </w:rPr>
        <w:t xml:space="preserve"> volume</w:t>
      </w:r>
      <w:r>
        <w:rPr>
          <w:sz w:val="24"/>
        </w:rPr>
        <w:t xml:space="preserve"> </w:t>
      </w:r>
      <w:r>
        <w:rPr>
          <w:rFonts w:hint="eastAsia"/>
          <w:sz w:val="24"/>
        </w:rPr>
        <w:t>of b</w:t>
      </w:r>
      <w:r>
        <w:rPr>
          <w:sz w:val="24"/>
        </w:rPr>
        <w:t xml:space="preserve">ond issuances increased year on year. Influenced by factors such as the government’s support for innovation-driven development, the Growth Enterprise Index </w:t>
      </w:r>
      <w:r>
        <w:rPr>
          <w:rFonts w:hint="eastAsia"/>
          <w:sz w:val="24"/>
        </w:rPr>
        <w:t xml:space="preserve">experienced </w:t>
      </w:r>
      <w:r>
        <w:rPr>
          <w:sz w:val="24"/>
        </w:rPr>
        <w:t xml:space="preserve">a </w:t>
      </w:r>
      <w:r>
        <w:rPr>
          <w:rFonts w:hint="eastAsia"/>
          <w:sz w:val="24"/>
        </w:rPr>
        <w:t>large rally</w:t>
      </w:r>
      <w:r>
        <w:rPr>
          <w:sz w:val="24"/>
        </w:rPr>
        <w:t xml:space="preserve">. The volume of trading on the </w:t>
      </w:r>
      <w:r>
        <w:rPr>
          <w:rFonts w:hint="eastAsia"/>
          <w:sz w:val="24"/>
        </w:rPr>
        <w:t xml:space="preserve">stock market </w:t>
      </w:r>
      <w:r>
        <w:rPr>
          <w:sz w:val="24"/>
        </w:rPr>
        <w:t xml:space="preserve">grew, while </w:t>
      </w:r>
      <w:r>
        <w:rPr>
          <w:rFonts w:hint="eastAsia"/>
          <w:sz w:val="24"/>
        </w:rPr>
        <w:t>the amount of equity financing</w:t>
      </w:r>
      <w:r>
        <w:rPr>
          <w:sz w:val="24"/>
        </w:rPr>
        <w:t xml:space="preserve"> </w:t>
      </w:r>
      <w:r>
        <w:rPr>
          <w:rFonts w:hint="eastAsia"/>
          <w:sz w:val="24"/>
        </w:rPr>
        <w:t>fell year on year</w:t>
      </w:r>
      <w:r>
        <w:rPr>
          <w:sz w:val="24"/>
        </w:rPr>
        <w:t xml:space="preserve">. The premium income in the insurance industry fell year on year, and the growth of its assets slowed down. </w:t>
      </w:r>
      <w:bookmarkStart w:id="85" w:name="_Toc477878093"/>
      <w:bookmarkStart w:id="86" w:name="_Toc464655690"/>
      <w:bookmarkStart w:id="87" w:name="_Toc484425030"/>
      <w:bookmarkStart w:id="88" w:name="_Toc472330076"/>
      <w:r>
        <w:rPr>
          <w:rFonts w:hint="eastAsia"/>
          <w:sz w:val="24"/>
        </w:rPr>
        <w:t xml:space="preserve"> </w:t>
      </w:r>
    </w:p>
    <w:p>
      <w:pPr>
        <w:rPr>
          <w:sz w:val="24"/>
        </w:rPr>
      </w:pPr>
    </w:p>
    <w:p>
      <w:pPr>
        <w:pStyle w:val="3"/>
        <w:ind w:firstLine="0" w:firstLineChars="0"/>
        <w:rPr>
          <w:rFonts w:ascii="Times New Roman" w:hAnsi="Times New Roman"/>
          <w:sz w:val="24"/>
          <w:szCs w:val="24"/>
        </w:rPr>
      </w:pPr>
      <w:bookmarkStart w:id="89" w:name="_Toc517190516"/>
      <w:r>
        <w:rPr>
          <w:rFonts w:ascii="Times New Roman" w:hAnsi="Times New Roman"/>
          <w:sz w:val="24"/>
          <w:szCs w:val="24"/>
        </w:rPr>
        <w:t>I. Financial market analysis</w:t>
      </w:r>
      <w:bookmarkEnd w:id="85"/>
      <w:bookmarkEnd w:id="86"/>
      <w:bookmarkEnd w:id="87"/>
      <w:bookmarkEnd w:id="88"/>
      <w:bookmarkEnd w:id="89"/>
      <w:bookmarkStart w:id="90" w:name="_Toc464655073"/>
      <w:bookmarkStart w:id="91" w:name="_Toc476916148"/>
      <w:bookmarkStart w:id="92" w:name="_Toc472330077"/>
      <w:bookmarkStart w:id="93" w:name="_Toc472329787"/>
      <w:bookmarkStart w:id="94" w:name="_Toc464655691"/>
    </w:p>
    <w:bookmarkEnd w:id="90"/>
    <w:bookmarkEnd w:id="91"/>
    <w:bookmarkEnd w:id="92"/>
    <w:bookmarkEnd w:id="93"/>
    <w:bookmarkEnd w:id="94"/>
    <w:p>
      <w:pPr>
        <w:rPr>
          <w:b/>
          <w:sz w:val="24"/>
        </w:rPr>
      </w:pPr>
      <w:r>
        <w:rPr>
          <w:rFonts w:hint="eastAsia"/>
          <w:b/>
          <w:sz w:val="24"/>
        </w:rPr>
        <w:t>1.</w:t>
      </w:r>
      <w:r>
        <w:rPr>
          <w:b/>
          <w:sz w:val="24"/>
        </w:rPr>
        <w:t xml:space="preserve"> </w:t>
      </w:r>
      <w:r>
        <w:rPr>
          <w:rFonts w:hint="eastAsia"/>
          <w:b/>
          <w:sz w:val="24"/>
        </w:rPr>
        <w:t>M</w:t>
      </w:r>
      <w:r>
        <w:rPr>
          <w:b/>
          <w:sz w:val="24"/>
        </w:rPr>
        <w:t xml:space="preserve">oney-market interest rates declined, but market </w:t>
      </w:r>
      <w:r>
        <w:rPr>
          <w:rFonts w:hint="eastAsia"/>
          <w:b/>
          <w:sz w:val="24"/>
        </w:rPr>
        <w:t xml:space="preserve">transactions </w:t>
      </w:r>
      <w:r>
        <w:rPr>
          <w:b/>
          <w:sz w:val="24"/>
        </w:rPr>
        <w:t>were active.</w:t>
      </w:r>
    </w:p>
    <w:p>
      <w:pPr>
        <w:autoSpaceDE w:val="0"/>
        <w:autoSpaceDN w:val="0"/>
        <w:adjustRightInd w:val="0"/>
        <w:rPr>
          <w:kern w:val="0"/>
          <w:sz w:val="24"/>
        </w:rPr>
      </w:pPr>
      <w:r>
        <w:rPr>
          <w:b/>
          <w:sz w:val="24"/>
        </w:rPr>
        <w:t xml:space="preserve">Liquidity in the banking system was </w:t>
      </w:r>
      <w:r>
        <w:rPr>
          <w:rFonts w:hint="eastAsia"/>
          <w:b/>
          <w:sz w:val="24"/>
        </w:rPr>
        <w:t xml:space="preserve">at </w:t>
      </w:r>
      <w:r>
        <w:rPr>
          <w:b/>
          <w:sz w:val="24"/>
        </w:rPr>
        <w:t xml:space="preserve">a </w:t>
      </w:r>
      <w:r>
        <w:rPr>
          <w:rFonts w:hint="eastAsia"/>
          <w:b/>
          <w:sz w:val="24"/>
        </w:rPr>
        <w:t>reasonable</w:t>
      </w:r>
      <w:r>
        <w:rPr>
          <w:b/>
          <w:sz w:val="24"/>
        </w:rPr>
        <w:t xml:space="preserve"> and stable</w:t>
      </w:r>
      <w:r>
        <w:rPr>
          <w:rFonts w:hint="eastAsia"/>
          <w:b/>
          <w:sz w:val="24"/>
        </w:rPr>
        <w:t xml:space="preserve"> level</w:t>
      </w:r>
      <w:r>
        <w:rPr>
          <w:b/>
          <w:sz w:val="24"/>
        </w:rPr>
        <w:t>, market expectations stabilized, and money-market interest rates declined moderately.</w:t>
      </w:r>
      <w:r>
        <w:rPr>
          <w:sz w:val="24"/>
        </w:rPr>
        <w:t xml:space="preserve"> In March, the weighted average interest rate of inter-bank </w:t>
      </w:r>
      <w:r>
        <w:rPr>
          <w:rFonts w:hint="eastAsia"/>
          <w:sz w:val="24"/>
        </w:rPr>
        <w:t>lending</w:t>
      </w:r>
      <w:r>
        <w:rPr>
          <w:sz w:val="24"/>
        </w:rPr>
        <w:t xml:space="preserve"> and pledged repos posted 2.74 percent and 2.9 percent, respectively, down 1</w:t>
      </w:r>
      <w:r>
        <w:rPr>
          <w:rFonts w:hint="eastAsia"/>
          <w:sz w:val="24"/>
        </w:rPr>
        <w:t>7</w:t>
      </w:r>
      <w:r>
        <w:rPr>
          <w:sz w:val="24"/>
        </w:rPr>
        <w:t xml:space="preserve"> basis points and </w:t>
      </w:r>
      <w:r>
        <w:rPr>
          <w:rFonts w:hint="eastAsia"/>
          <w:sz w:val="24"/>
        </w:rPr>
        <w:t>2</w:t>
      </w:r>
      <w:r>
        <w:rPr>
          <w:sz w:val="24"/>
        </w:rPr>
        <w:t xml:space="preserve">1 basis points, respectively, from December 2017. </w:t>
      </w:r>
      <w:r>
        <w:rPr>
          <w:kern w:val="0"/>
          <w:sz w:val="24"/>
        </w:rPr>
        <w:t xml:space="preserve">The weighted average interest rate of repos </w:t>
      </w:r>
      <w:r>
        <w:rPr>
          <w:rFonts w:hint="eastAsia"/>
          <w:kern w:val="0"/>
          <w:sz w:val="24"/>
        </w:rPr>
        <w:t>between</w:t>
      </w:r>
      <w:r>
        <w:rPr>
          <w:kern w:val="0"/>
          <w:sz w:val="24"/>
        </w:rPr>
        <w:t xml:space="preserve"> deposit-taking institutions with rate securities as pledges posted 2.65 percent, down 9 basis points</w:t>
      </w:r>
      <w:r>
        <w:rPr>
          <w:sz w:val="24"/>
        </w:rPr>
        <w:t xml:space="preserve"> from December 2017.</w:t>
      </w:r>
      <w:r>
        <w:rPr>
          <w:rFonts w:hint="eastAsia"/>
          <w:sz w:val="24"/>
        </w:rPr>
        <w:t xml:space="preserve"> The Shibor rates </w:t>
      </w:r>
      <w:r>
        <w:rPr>
          <w:sz w:val="24"/>
        </w:rPr>
        <w:t xml:space="preserve">generally </w:t>
      </w:r>
      <w:r>
        <w:rPr>
          <w:rFonts w:hint="eastAsia"/>
          <w:sz w:val="24"/>
        </w:rPr>
        <w:t>moved</w:t>
      </w:r>
      <w:r>
        <w:rPr>
          <w:sz w:val="24"/>
        </w:rPr>
        <w:t xml:space="preserve"> down</w:t>
      </w:r>
      <w:r>
        <w:rPr>
          <w:rFonts w:hint="eastAsia"/>
          <w:sz w:val="24"/>
        </w:rPr>
        <w:t xml:space="preserve">. </w:t>
      </w:r>
      <w:r>
        <w:rPr>
          <w:kern w:val="0"/>
          <w:sz w:val="24"/>
        </w:rPr>
        <w:t>At end-March, the overnight and 7-day Shibor posted 2.69 percent and 2.92 percent, respectively, down 15 basis points and 4 basis points from end-2017. The 3-month and 1-year Shibor posted 4.46 percent and 4.65 percent, respectively, down 45 basis points and 11 basis points from end-2017.</w:t>
      </w:r>
    </w:p>
    <w:p>
      <w:pPr>
        <w:autoSpaceDE w:val="0"/>
        <w:autoSpaceDN w:val="0"/>
        <w:adjustRightInd w:val="0"/>
        <w:rPr>
          <w:b/>
          <w:kern w:val="0"/>
          <w:sz w:val="24"/>
        </w:rPr>
      </w:pPr>
    </w:p>
    <w:p>
      <w:pPr>
        <w:autoSpaceDE w:val="0"/>
        <w:autoSpaceDN w:val="0"/>
        <w:adjustRightInd w:val="0"/>
        <w:rPr>
          <w:kern w:val="0"/>
          <w:sz w:val="24"/>
        </w:rPr>
      </w:pPr>
      <w:r>
        <w:rPr>
          <w:b/>
          <w:kern w:val="0"/>
          <w:sz w:val="24"/>
        </w:rPr>
        <w:t xml:space="preserve">The volume of repo transactions </w:t>
      </w:r>
      <w:r>
        <w:rPr>
          <w:rFonts w:hint="eastAsia"/>
          <w:b/>
          <w:kern w:val="0"/>
          <w:sz w:val="24"/>
        </w:rPr>
        <w:t xml:space="preserve">and lending </w:t>
      </w:r>
      <w:r>
        <w:rPr>
          <w:b/>
          <w:kern w:val="0"/>
          <w:sz w:val="24"/>
        </w:rPr>
        <w:t xml:space="preserve">on the inter-bank market </w:t>
      </w:r>
      <w:r>
        <w:rPr>
          <w:rFonts w:hint="eastAsia"/>
          <w:b/>
          <w:kern w:val="0"/>
          <w:sz w:val="24"/>
        </w:rPr>
        <w:t>surged</w:t>
      </w:r>
      <w:r>
        <w:rPr>
          <w:b/>
          <w:kern w:val="0"/>
          <w:sz w:val="24"/>
        </w:rPr>
        <w:t xml:space="preserve"> year on year, with Chinese-funded large banks as major net lenders.</w:t>
      </w:r>
      <w:r>
        <w:rPr>
          <w:kern w:val="0"/>
          <w:sz w:val="24"/>
        </w:rPr>
        <w:t xml:space="preserve"> In Q1, the cumulative </w:t>
      </w:r>
      <w:r>
        <w:rPr>
          <w:rFonts w:hint="eastAsia"/>
          <w:kern w:val="0"/>
          <w:sz w:val="24"/>
        </w:rPr>
        <w:t>volume</w:t>
      </w:r>
      <w:r>
        <w:rPr>
          <w:kern w:val="0"/>
          <w:sz w:val="24"/>
        </w:rPr>
        <w:t xml:space="preserve"> of bond repos reached RMB 164.7 trillion on the inter-bank market, representing a daily average of RMB 2.7 trillion and an increase of 30.8 percent year on year. The cumulative </w:t>
      </w:r>
      <w:r>
        <w:rPr>
          <w:rFonts w:hint="eastAsia"/>
          <w:kern w:val="0"/>
          <w:sz w:val="24"/>
        </w:rPr>
        <w:t>volume</w:t>
      </w:r>
      <w:r>
        <w:rPr>
          <w:kern w:val="0"/>
          <w:sz w:val="24"/>
        </w:rPr>
        <w:t xml:space="preserve"> of inter-bank lending reached RMB 30.6 trillion, with a daily average of RMB 501.3 billion and an increase of 47.3 percent year on year. In terms of the maturity structure, overnight repos and overnight lending accounted for 78.4 percent and 88.7 percent, respectively, of the turnover in bond repos and inter-bank lending. The </w:t>
      </w:r>
      <w:r>
        <w:rPr>
          <w:rFonts w:hint="eastAsia"/>
          <w:kern w:val="0"/>
          <w:sz w:val="24"/>
        </w:rPr>
        <w:t>volume</w:t>
      </w:r>
      <w:r>
        <w:rPr>
          <w:kern w:val="0"/>
          <w:sz w:val="24"/>
        </w:rPr>
        <w:t xml:space="preserve"> of bond repos on the stock exchanges decreased 0.5 percent year on year to RMB 58.4 trillion.</w:t>
      </w:r>
      <w:r>
        <w:rPr>
          <w:rFonts w:hint="eastAsia"/>
          <w:sz w:val="24"/>
        </w:rPr>
        <w:t xml:space="preserve"> In terms of financing among financial institutions, the flow of funds displayed the following characteristics. First, </w:t>
      </w:r>
      <w:r>
        <w:rPr>
          <w:sz w:val="24"/>
        </w:rPr>
        <w:t>Chinese-funded large banks</w:t>
      </w:r>
      <w:r>
        <w:rPr>
          <w:rFonts w:hint="eastAsia"/>
          <w:sz w:val="24"/>
        </w:rPr>
        <w:t xml:space="preserve"> </w:t>
      </w:r>
      <w:r>
        <w:rPr>
          <w:sz w:val="24"/>
        </w:rPr>
        <w:t>and fund providers saw</w:t>
      </w:r>
      <w:r>
        <w:rPr>
          <w:rFonts w:hint="eastAsia"/>
          <w:sz w:val="24"/>
        </w:rPr>
        <w:t xml:space="preserve"> </w:t>
      </w:r>
      <w:r>
        <w:rPr>
          <w:sz w:val="24"/>
        </w:rPr>
        <w:t>a large increase in their net funding. I</w:t>
      </w:r>
      <w:r>
        <w:rPr>
          <w:rFonts w:hint="eastAsia"/>
          <w:sz w:val="24"/>
        </w:rPr>
        <w:t xml:space="preserve">n Q1, net lending by Chinese-funded large banks totaled RMB </w:t>
      </w:r>
      <w:r>
        <w:rPr>
          <w:sz w:val="24"/>
        </w:rPr>
        <w:t>70.5</w:t>
      </w:r>
      <w:r>
        <w:rPr>
          <w:rFonts w:hint="eastAsia"/>
          <w:sz w:val="24"/>
        </w:rPr>
        <w:t xml:space="preserve"> trillion</w:t>
      </w:r>
      <w:r>
        <w:rPr>
          <w:sz w:val="24"/>
        </w:rPr>
        <w:t xml:space="preserve"> through repos and inter-bank lending, up 45.8 percent year on year. Second, insurance </w:t>
      </w:r>
      <w:r>
        <w:rPr>
          <w:rFonts w:hint="eastAsia"/>
          <w:sz w:val="24"/>
        </w:rPr>
        <w:t>firms</w:t>
      </w:r>
      <w:r>
        <w:rPr>
          <w:sz w:val="24"/>
        </w:rPr>
        <w:t xml:space="preserve"> changed from net lenders in the corresponding period of last year to net borrowers in the period of this year,</w:t>
      </w:r>
      <w:r>
        <w:rPr>
          <w:rFonts w:hint="eastAsia"/>
          <w:sz w:val="24"/>
        </w:rPr>
        <w:t xml:space="preserve"> </w:t>
      </w:r>
      <w:r>
        <w:rPr>
          <w:sz w:val="24"/>
        </w:rPr>
        <w:t>w</w:t>
      </w:r>
      <w:r>
        <w:rPr>
          <w:rFonts w:hint="eastAsia"/>
          <w:sz w:val="24"/>
        </w:rPr>
        <w:t xml:space="preserve">ith </w:t>
      </w:r>
      <w:r>
        <w:rPr>
          <w:sz w:val="24"/>
        </w:rPr>
        <w:t xml:space="preserve">their net borrowing </w:t>
      </w:r>
      <w:r>
        <w:rPr>
          <w:rFonts w:hint="eastAsia"/>
          <w:sz w:val="24"/>
        </w:rPr>
        <w:t>amounting</w:t>
      </w:r>
      <w:r>
        <w:rPr>
          <w:sz w:val="24"/>
        </w:rPr>
        <w:t xml:space="preserve"> to RMB 946 billion</w:t>
      </w:r>
      <w:r>
        <w:rPr>
          <w:rFonts w:hint="eastAsia"/>
          <w:sz w:val="24"/>
        </w:rPr>
        <w:t xml:space="preserve"> in Q1</w:t>
      </w:r>
      <w:r>
        <w:rPr>
          <w:sz w:val="24"/>
        </w:rPr>
        <w:t>. Third, there was a large increase in the net borrowing of</w:t>
      </w:r>
      <w:r>
        <w:rPr>
          <w:rFonts w:hint="eastAsia"/>
          <w:sz w:val="24"/>
        </w:rPr>
        <w:t xml:space="preserve"> </w:t>
      </w:r>
      <w:r>
        <w:rPr>
          <w:sz w:val="24"/>
        </w:rPr>
        <w:t xml:space="preserve">other financial institutions, </w:t>
      </w:r>
      <w:r>
        <w:rPr>
          <w:rFonts w:hAnsi="宋体"/>
          <w:sz w:val="24"/>
        </w:rPr>
        <w:t>vehicles</w:t>
      </w:r>
      <w:r>
        <w:rPr>
          <w:rFonts w:hint="eastAsia" w:hAnsi="宋体"/>
          <w:sz w:val="24"/>
        </w:rPr>
        <w:t xml:space="preserve">, </w:t>
      </w:r>
      <w:r>
        <w:rPr>
          <w:rFonts w:hAnsi="宋体"/>
          <w:sz w:val="24"/>
        </w:rPr>
        <w:t xml:space="preserve">and </w:t>
      </w:r>
      <w:r>
        <w:rPr>
          <w:sz w:val="24"/>
        </w:rPr>
        <w:t xml:space="preserve">securities </w:t>
      </w:r>
      <w:r>
        <w:rPr>
          <w:rFonts w:hint="eastAsia"/>
          <w:sz w:val="24"/>
        </w:rPr>
        <w:t xml:space="preserve">companies. In particular, </w:t>
      </w:r>
      <w:r>
        <w:rPr>
          <w:sz w:val="24"/>
        </w:rPr>
        <w:t xml:space="preserve">net borrowing by other financial institutions </w:t>
      </w:r>
      <w:r>
        <w:rPr>
          <w:rFonts w:hAnsi="宋体"/>
          <w:sz w:val="24"/>
        </w:rPr>
        <w:t>and vehicles</w:t>
      </w:r>
      <w:r>
        <w:rPr>
          <w:rFonts w:hint="eastAsia" w:hAnsi="宋体"/>
          <w:sz w:val="24"/>
        </w:rPr>
        <w:t xml:space="preserve"> totaled</w:t>
      </w:r>
      <w:r>
        <w:rPr>
          <w:rFonts w:hint="eastAsia"/>
          <w:sz w:val="24"/>
        </w:rPr>
        <w:t xml:space="preserve"> </w:t>
      </w:r>
      <w:r>
        <w:rPr>
          <w:sz w:val="24"/>
        </w:rPr>
        <w:t>RMB 32.1 trillion</w:t>
      </w:r>
      <w:r>
        <w:rPr>
          <w:rFonts w:hint="eastAsia"/>
          <w:sz w:val="24"/>
        </w:rPr>
        <w:t xml:space="preserve">, up </w:t>
      </w:r>
      <w:r>
        <w:rPr>
          <w:sz w:val="24"/>
        </w:rPr>
        <w:t xml:space="preserve">88.2 </w:t>
      </w:r>
      <w:r>
        <w:rPr>
          <w:rFonts w:hint="eastAsia"/>
          <w:sz w:val="24"/>
        </w:rPr>
        <w:t>percent year on year</w:t>
      </w:r>
      <w:r>
        <w:rPr>
          <w:sz w:val="24"/>
        </w:rPr>
        <w:t xml:space="preserve">. Net borrowing by securities institutions </w:t>
      </w:r>
      <w:r>
        <w:rPr>
          <w:rFonts w:hint="eastAsia"/>
          <w:sz w:val="24"/>
        </w:rPr>
        <w:t>posted</w:t>
      </w:r>
      <w:r>
        <w:rPr>
          <w:sz w:val="24"/>
        </w:rPr>
        <w:t xml:space="preserve"> RMB </w:t>
      </w:r>
      <w:r>
        <w:rPr>
          <w:rFonts w:hint="eastAsia"/>
          <w:sz w:val="24"/>
        </w:rPr>
        <w:t>1</w:t>
      </w:r>
      <w:r>
        <w:rPr>
          <w:sz w:val="24"/>
        </w:rPr>
        <w:t>7.6 trillion,</w:t>
      </w:r>
      <w:r>
        <w:rPr>
          <w:rFonts w:hint="eastAsia"/>
          <w:sz w:val="24"/>
        </w:rPr>
        <w:t xml:space="preserve"> up </w:t>
      </w:r>
      <w:r>
        <w:rPr>
          <w:sz w:val="24"/>
        </w:rPr>
        <w:t>64</w:t>
      </w:r>
      <w:r>
        <w:rPr>
          <w:rFonts w:hint="eastAsia"/>
          <w:sz w:val="24"/>
        </w:rPr>
        <w:t>.8 percent</w:t>
      </w:r>
      <w:r>
        <w:rPr>
          <w:sz w:val="24"/>
        </w:rPr>
        <w:t xml:space="preserve"> year on year.</w:t>
      </w:r>
    </w:p>
    <w:p>
      <w:pPr>
        <w:rPr>
          <w:sz w:val="24"/>
        </w:rPr>
      </w:pPr>
    </w:p>
    <w:p>
      <w:pPr>
        <w:rPr>
          <w:sz w:val="24"/>
        </w:rPr>
      </w:pPr>
    </w:p>
    <w:p>
      <w:pPr>
        <w:keepNext/>
        <w:jc w:val="center"/>
        <w:rPr>
          <w:b/>
          <w:bCs/>
          <w:sz w:val="24"/>
        </w:rPr>
      </w:pPr>
      <w:bookmarkStart w:id="95" w:name="_Toc477878113"/>
      <w:bookmarkStart w:id="96" w:name="_Toc517190864"/>
      <w:r>
        <w:rPr>
          <w:b/>
          <w:bCs/>
          <w:sz w:val="24"/>
        </w:rPr>
        <w:t xml:space="preserve">Table </w:t>
      </w:r>
      <w:r>
        <w:rPr>
          <w:b/>
          <w:bCs/>
          <w:sz w:val="24"/>
        </w:rPr>
        <w:fldChar w:fldCharType="begin"/>
      </w:r>
      <w:r>
        <w:rPr>
          <w:b/>
          <w:bCs/>
          <w:sz w:val="24"/>
        </w:rPr>
        <w:instrText xml:space="preserve"> SEQ Table \* ARABIC </w:instrText>
      </w:r>
      <w:r>
        <w:rPr>
          <w:b/>
          <w:bCs/>
          <w:sz w:val="24"/>
        </w:rPr>
        <w:fldChar w:fldCharType="separate"/>
      </w:r>
      <w:r>
        <w:rPr>
          <w:b/>
          <w:bCs/>
          <w:sz w:val="24"/>
        </w:rPr>
        <w:t>9</w:t>
      </w:r>
      <w:r>
        <w:rPr>
          <w:b/>
          <w:bCs/>
          <w:sz w:val="24"/>
        </w:rPr>
        <w:fldChar w:fldCharType="end"/>
      </w:r>
      <w:r>
        <w:rPr>
          <w:b/>
          <w:bCs/>
          <w:sz w:val="24"/>
        </w:rPr>
        <w:t>. Fund Flows among Financial Institutions</w:t>
      </w:r>
      <w:r>
        <w:rPr>
          <w:rFonts w:hint="eastAsia"/>
          <w:b/>
          <w:bCs/>
          <w:sz w:val="24"/>
        </w:rPr>
        <w:t>,</w:t>
      </w:r>
      <w:r>
        <w:rPr>
          <w:b/>
          <w:bCs/>
          <w:sz w:val="24"/>
        </w:rPr>
        <w:t xml:space="preserve"> </w:t>
      </w:r>
      <w:r>
        <w:rPr>
          <w:rFonts w:hint="eastAsia"/>
          <w:b/>
          <w:bCs/>
          <w:sz w:val="24"/>
        </w:rPr>
        <w:t xml:space="preserve">Q1 </w:t>
      </w:r>
      <w:r>
        <w:rPr>
          <w:b/>
          <w:bCs/>
          <w:sz w:val="24"/>
        </w:rPr>
        <w:t>201</w:t>
      </w:r>
      <w:bookmarkEnd w:id="95"/>
      <w:r>
        <w:rPr>
          <w:b/>
          <w:bCs/>
          <w:sz w:val="24"/>
        </w:rPr>
        <w:t>8</w:t>
      </w:r>
      <w:bookmarkEnd w:id="96"/>
    </w:p>
    <w:tbl>
      <w:tblPr>
        <w:tblStyle w:val="96"/>
        <w:tblW w:w="8483" w:type="dxa"/>
        <w:jc w:val="center"/>
        <w:tblInd w:w="0" w:type="dxa"/>
        <w:tblLayout w:type="fixed"/>
        <w:tblCellMar>
          <w:top w:w="0" w:type="dxa"/>
          <w:left w:w="0" w:type="dxa"/>
          <w:bottom w:w="0" w:type="dxa"/>
          <w:right w:w="0" w:type="dxa"/>
        </w:tblCellMar>
      </w:tblPr>
      <w:tblGrid>
        <w:gridCol w:w="2632"/>
        <w:gridCol w:w="1462"/>
        <w:gridCol w:w="1462"/>
        <w:gridCol w:w="1462"/>
        <w:gridCol w:w="1465"/>
      </w:tblGrid>
      <w:tr>
        <w:tblPrEx>
          <w:tblLayout w:type="fixed"/>
          <w:tblCellMar>
            <w:top w:w="0" w:type="dxa"/>
            <w:left w:w="0" w:type="dxa"/>
            <w:bottom w:w="0" w:type="dxa"/>
            <w:right w:w="0" w:type="dxa"/>
          </w:tblCellMar>
        </w:tblPrEx>
        <w:trPr>
          <w:trHeight w:val="300" w:hRule="atLeast"/>
          <w:jc w:val="center"/>
        </w:trPr>
        <w:tc>
          <w:tcPr>
            <w:tcW w:w="8483" w:type="dxa"/>
            <w:gridSpan w:val="5"/>
            <w:tcBorders>
              <w:top w:val="nil"/>
              <w:left w:val="nil"/>
              <w:bottom w:val="single" w:color="008000" w:sz="12" w:space="0"/>
              <w:right w:val="nil"/>
            </w:tcBorders>
            <w:vAlign w:val="bottom"/>
          </w:tcPr>
          <w:p>
            <w:pPr>
              <w:rPr>
                <w:b/>
                <w:bCs/>
                <w:sz w:val="24"/>
              </w:rPr>
            </w:pPr>
          </w:p>
          <w:p>
            <w:pPr>
              <w:ind w:right="120"/>
              <w:jc w:val="right"/>
              <w:rPr>
                <w:b/>
                <w:bCs/>
                <w:sz w:val="24"/>
              </w:rPr>
            </w:pPr>
            <w:r>
              <w:rPr>
                <w:b/>
                <w:bCs/>
                <w:sz w:val="24"/>
              </w:rPr>
              <w:t xml:space="preserve">Unit: RMB 100 million </w:t>
            </w:r>
          </w:p>
        </w:tc>
      </w:tr>
      <w:tr>
        <w:tblPrEx>
          <w:tblLayout w:type="fixed"/>
          <w:tblCellMar>
            <w:top w:w="0" w:type="dxa"/>
            <w:left w:w="0" w:type="dxa"/>
            <w:bottom w:w="0" w:type="dxa"/>
            <w:right w:w="0" w:type="dxa"/>
          </w:tblCellMar>
        </w:tblPrEx>
        <w:trPr>
          <w:cantSplit/>
          <w:trHeight w:val="369" w:hRule="atLeast"/>
          <w:jc w:val="center"/>
        </w:trPr>
        <w:tc>
          <w:tcPr>
            <w:tcW w:w="2632" w:type="dxa"/>
            <w:vMerge w:val="restart"/>
            <w:tcBorders>
              <w:top w:val="nil"/>
              <w:left w:val="nil"/>
              <w:bottom w:val="single" w:color="008000" w:sz="8" w:space="0"/>
              <w:right w:val="single" w:color="008000" w:sz="4" w:space="0"/>
            </w:tcBorders>
            <w:shd w:val="clear" w:color="auto" w:fill="CCFFCC"/>
            <w:vAlign w:val="center"/>
          </w:tcPr>
          <w:p>
            <w:pPr>
              <w:adjustRightInd w:val="0"/>
              <w:snapToGrid w:val="0"/>
              <w:jc w:val="center"/>
              <w:rPr>
                <w:sz w:val="24"/>
              </w:rPr>
            </w:pPr>
            <w:r>
              <w:rPr>
                <w:rFonts w:hint="eastAsia" w:hAnsi="宋体"/>
                <w:sz w:val="24"/>
              </w:rPr>
              <w:t>　</w:t>
            </w:r>
          </w:p>
        </w:tc>
        <w:tc>
          <w:tcPr>
            <w:tcW w:w="2924" w:type="dxa"/>
            <w:gridSpan w:val="2"/>
            <w:tcBorders>
              <w:top w:val="single" w:color="008000" w:sz="12" w:space="0"/>
              <w:left w:val="nil"/>
              <w:bottom w:val="single" w:color="008000" w:sz="4" w:space="0"/>
              <w:right w:val="single" w:color="008000" w:sz="4" w:space="0"/>
            </w:tcBorders>
            <w:shd w:val="clear" w:color="auto" w:fill="CCFFCC"/>
            <w:vAlign w:val="center"/>
          </w:tcPr>
          <w:p>
            <w:pPr>
              <w:adjustRightInd w:val="0"/>
              <w:snapToGrid w:val="0"/>
              <w:jc w:val="center"/>
              <w:rPr>
                <w:sz w:val="24"/>
              </w:rPr>
            </w:pPr>
            <w:r>
              <w:rPr>
                <w:rFonts w:hAnsi="宋体"/>
                <w:sz w:val="24"/>
              </w:rPr>
              <w:t>Repos</w:t>
            </w:r>
          </w:p>
        </w:tc>
        <w:tc>
          <w:tcPr>
            <w:tcW w:w="2927" w:type="dxa"/>
            <w:gridSpan w:val="2"/>
            <w:tcBorders>
              <w:top w:val="single" w:color="008000" w:sz="12" w:space="0"/>
              <w:left w:val="nil"/>
              <w:bottom w:val="single" w:color="008000" w:sz="4" w:space="0"/>
              <w:right w:val="nil"/>
            </w:tcBorders>
            <w:shd w:val="clear" w:color="auto" w:fill="CCFFCC"/>
            <w:vAlign w:val="center"/>
          </w:tcPr>
          <w:p>
            <w:pPr>
              <w:adjustRightInd w:val="0"/>
              <w:snapToGrid w:val="0"/>
              <w:jc w:val="center"/>
              <w:rPr>
                <w:sz w:val="24"/>
              </w:rPr>
            </w:pPr>
            <w:r>
              <w:rPr>
                <w:rFonts w:hAnsi="宋体"/>
                <w:sz w:val="24"/>
              </w:rPr>
              <w:t xml:space="preserve">Inter-bank </w:t>
            </w:r>
            <w:r>
              <w:rPr>
                <w:rFonts w:hint="eastAsia" w:hAnsi="宋体"/>
                <w:sz w:val="24"/>
              </w:rPr>
              <w:t>lending</w:t>
            </w:r>
          </w:p>
        </w:tc>
      </w:tr>
      <w:tr>
        <w:tblPrEx>
          <w:tblLayout w:type="fixed"/>
          <w:tblCellMar>
            <w:top w:w="0" w:type="dxa"/>
            <w:left w:w="0" w:type="dxa"/>
            <w:bottom w:w="0" w:type="dxa"/>
            <w:right w:w="0" w:type="dxa"/>
          </w:tblCellMar>
        </w:tblPrEx>
        <w:trPr>
          <w:cantSplit/>
          <w:trHeight w:val="369" w:hRule="atLeast"/>
          <w:jc w:val="center"/>
        </w:trPr>
        <w:tc>
          <w:tcPr>
            <w:tcW w:w="2632" w:type="dxa"/>
            <w:vMerge w:val="continue"/>
            <w:tcBorders>
              <w:top w:val="nil"/>
              <w:left w:val="nil"/>
              <w:bottom w:val="single" w:color="008000" w:sz="8" w:space="0"/>
              <w:right w:val="single" w:color="008000" w:sz="4" w:space="0"/>
            </w:tcBorders>
            <w:shd w:val="clear" w:color="auto" w:fill="auto"/>
            <w:vAlign w:val="center"/>
          </w:tcPr>
          <w:p>
            <w:pPr>
              <w:keepNext/>
              <w:keepLines/>
              <w:spacing w:beforeLines="200" w:afterLines="100"/>
              <w:jc w:val="center"/>
              <w:outlineLvl w:val="0"/>
              <w:rPr>
                <w:rFonts w:eastAsia="黑体"/>
                <w:kern w:val="44"/>
                <w:sz w:val="24"/>
              </w:rPr>
            </w:pPr>
          </w:p>
        </w:tc>
        <w:tc>
          <w:tcPr>
            <w:tcW w:w="1462" w:type="dxa"/>
            <w:tcBorders>
              <w:top w:val="nil"/>
              <w:left w:val="nil"/>
              <w:bottom w:val="single" w:color="008000" w:sz="8" w:space="0"/>
              <w:right w:val="single" w:color="008000" w:sz="4" w:space="0"/>
            </w:tcBorders>
            <w:shd w:val="clear" w:color="auto" w:fill="CCFFCC"/>
            <w:vAlign w:val="center"/>
          </w:tcPr>
          <w:p>
            <w:pPr>
              <w:adjustRightInd w:val="0"/>
              <w:snapToGrid w:val="0"/>
              <w:jc w:val="center"/>
              <w:rPr>
                <w:sz w:val="24"/>
              </w:rPr>
            </w:pPr>
            <w:r>
              <w:rPr>
                <w:rFonts w:hint="eastAsia"/>
                <w:sz w:val="24"/>
              </w:rPr>
              <w:t xml:space="preserve">Q1 </w:t>
            </w:r>
            <w:r>
              <w:rPr>
                <w:sz w:val="24"/>
              </w:rPr>
              <w:t>201</w:t>
            </w:r>
            <w:r>
              <w:rPr>
                <w:rFonts w:hint="eastAsia"/>
                <w:sz w:val="24"/>
              </w:rPr>
              <w:t>8</w:t>
            </w:r>
          </w:p>
        </w:tc>
        <w:tc>
          <w:tcPr>
            <w:tcW w:w="1462" w:type="dxa"/>
            <w:tcBorders>
              <w:top w:val="nil"/>
              <w:left w:val="nil"/>
              <w:bottom w:val="single" w:color="008000" w:sz="8" w:space="0"/>
              <w:right w:val="single" w:color="008000" w:sz="4" w:space="0"/>
            </w:tcBorders>
            <w:shd w:val="clear" w:color="auto" w:fill="CCFFCC"/>
            <w:vAlign w:val="center"/>
          </w:tcPr>
          <w:p>
            <w:pPr>
              <w:adjustRightInd w:val="0"/>
              <w:snapToGrid w:val="0"/>
              <w:jc w:val="center"/>
              <w:rPr>
                <w:sz w:val="24"/>
              </w:rPr>
            </w:pPr>
            <w:r>
              <w:rPr>
                <w:rFonts w:hint="eastAsia"/>
                <w:sz w:val="24"/>
              </w:rPr>
              <w:t xml:space="preserve">Q1 </w:t>
            </w:r>
            <w:r>
              <w:rPr>
                <w:sz w:val="24"/>
              </w:rPr>
              <w:t>201</w:t>
            </w:r>
            <w:r>
              <w:rPr>
                <w:rFonts w:hint="eastAsia"/>
                <w:sz w:val="24"/>
              </w:rPr>
              <w:t>7</w:t>
            </w:r>
          </w:p>
        </w:tc>
        <w:tc>
          <w:tcPr>
            <w:tcW w:w="1462" w:type="dxa"/>
            <w:tcBorders>
              <w:top w:val="nil"/>
              <w:left w:val="nil"/>
              <w:bottom w:val="single" w:color="008000" w:sz="8" w:space="0"/>
              <w:right w:val="single" w:color="008000" w:sz="4" w:space="0"/>
            </w:tcBorders>
            <w:shd w:val="clear" w:color="auto" w:fill="CCFFCC"/>
            <w:vAlign w:val="center"/>
          </w:tcPr>
          <w:p>
            <w:pPr>
              <w:adjustRightInd w:val="0"/>
              <w:snapToGrid w:val="0"/>
              <w:jc w:val="center"/>
              <w:rPr>
                <w:sz w:val="24"/>
              </w:rPr>
            </w:pPr>
            <w:r>
              <w:rPr>
                <w:rFonts w:hint="eastAsia"/>
                <w:sz w:val="24"/>
              </w:rPr>
              <w:t xml:space="preserve">Q1 </w:t>
            </w:r>
            <w:r>
              <w:rPr>
                <w:sz w:val="24"/>
              </w:rPr>
              <w:t>201</w:t>
            </w:r>
            <w:r>
              <w:rPr>
                <w:rFonts w:hint="eastAsia"/>
                <w:sz w:val="24"/>
              </w:rPr>
              <w:t>8</w:t>
            </w:r>
          </w:p>
        </w:tc>
        <w:tc>
          <w:tcPr>
            <w:tcW w:w="1465" w:type="dxa"/>
            <w:tcBorders>
              <w:top w:val="nil"/>
              <w:left w:val="nil"/>
              <w:bottom w:val="single" w:color="008000" w:sz="8" w:space="0"/>
              <w:right w:val="nil"/>
            </w:tcBorders>
            <w:shd w:val="clear" w:color="auto" w:fill="CCFFCC"/>
            <w:vAlign w:val="center"/>
          </w:tcPr>
          <w:p>
            <w:pPr>
              <w:adjustRightInd w:val="0"/>
              <w:snapToGrid w:val="0"/>
              <w:jc w:val="center"/>
              <w:rPr>
                <w:sz w:val="24"/>
              </w:rPr>
            </w:pPr>
            <w:r>
              <w:rPr>
                <w:rFonts w:hint="eastAsia"/>
                <w:sz w:val="24"/>
              </w:rPr>
              <w:t xml:space="preserve">Q1 </w:t>
            </w:r>
            <w:r>
              <w:rPr>
                <w:sz w:val="24"/>
              </w:rPr>
              <w:t>201</w:t>
            </w:r>
            <w:r>
              <w:rPr>
                <w:rFonts w:hint="eastAsia"/>
                <w:sz w:val="24"/>
              </w:rPr>
              <w:t>7</w:t>
            </w:r>
          </w:p>
        </w:tc>
      </w:tr>
      <w:tr>
        <w:tblPrEx>
          <w:tblLayout w:type="fixed"/>
          <w:tblCellMar>
            <w:top w:w="0" w:type="dxa"/>
            <w:left w:w="0" w:type="dxa"/>
            <w:bottom w:w="0" w:type="dxa"/>
            <w:right w:w="0" w:type="dxa"/>
          </w:tblCellMar>
        </w:tblPrEx>
        <w:trPr>
          <w:trHeight w:val="369" w:hRule="atLeast"/>
          <w:jc w:val="center"/>
        </w:trPr>
        <w:tc>
          <w:tcPr>
            <w:tcW w:w="2632" w:type="dxa"/>
            <w:tcBorders>
              <w:top w:val="single" w:color="008000" w:sz="8" w:space="0"/>
              <w:left w:val="nil"/>
              <w:bottom w:val="nil"/>
              <w:right w:val="single" w:color="008000" w:sz="4" w:space="0"/>
            </w:tcBorders>
            <w:shd w:val="clear" w:color="auto" w:fill="FFFFFF"/>
            <w:vAlign w:val="center"/>
          </w:tcPr>
          <w:p>
            <w:pPr>
              <w:adjustRightInd w:val="0"/>
              <w:snapToGrid w:val="0"/>
              <w:jc w:val="left"/>
              <w:rPr>
                <w:sz w:val="24"/>
              </w:rPr>
            </w:pPr>
            <w:r>
              <w:rPr>
                <w:rFonts w:hAnsi="宋体"/>
                <w:sz w:val="24"/>
              </w:rPr>
              <w:t>Chinese-funded large banks</w:t>
            </w:r>
            <w:r>
              <w:rPr>
                <w:sz w:val="24"/>
                <w:vertAlign w:val="superscript"/>
              </w:rPr>
              <w:fldChar w:fldCharType="begin"/>
            </w:r>
            <w:r>
              <w:rPr>
                <w:sz w:val="24"/>
                <w:vertAlign w:val="superscript"/>
              </w:rPr>
              <w:instrText xml:space="preserve"> = 1 \* GB3 </w:instrText>
            </w:r>
            <w:r>
              <w:rPr>
                <w:sz w:val="24"/>
                <w:vertAlign w:val="superscript"/>
              </w:rPr>
              <w:fldChar w:fldCharType="separate"/>
            </w:r>
            <w:r>
              <w:rPr>
                <w:rFonts w:hint="eastAsia" w:ascii="宋体" w:hAnsi="宋体"/>
                <w:sz w:val="24"/>
                <w:vertAlign w:val="superscript"/>
              </w:rPr>
              <w:t>①</w:t>
            </w:r>
            <w:r>
              <w:rPr>
                <w:sz w:val="24"/>
                <w:vertAlign w:val="superscript"/>
              </w:rPr>
              <w:fldChar w:fldCharType="end"/>
            </w:r>
          </w:p>
        </w:tc>
        <w:tc>
          <w:tcPr>
            <w:tcW w:w="1462" w:type="dxa"/>
            <w:tcBorders>
              <w:top w:val="single" w:color="008000" w:sz="8" w:space="0"/>
              <w:left w:val="nil"/>
              <w:bottom w:val="nil"/>
              <w:right w:val="single" w:color="008000" w:sz="4" w:space="0"/>
            </w:tcBorders>
            <w:shd w:val="clear" w:color="auto" w:fill="FFFFFF"/>
            <w:vAlign w:val="center"/>
          </w:tcPr>
          <w:p>
            <w:pPr>
              <w:adjustRightInd w:val="0"/>
              <w:snapToGrid w:val="0"/>
              <w:jc w:val="center"/>
              <w:rPr>
                <w:sz w:val="24"/>
              </w:rPr>
            </w:pPr>
            <w:r>
              <w:rPr>
                <w:sz w:val="24"/>
              </w:rPr>
              <w:t>–</w:t>
            </w:r>
            <w:r>
              <w:rPr>
                <w:rFonts w:hint="eastAsia"/>
                <w:sz w:val="24"/>
              </w:rPr>
              <w:t>3</w:t>
            </w:r>
            <w:r>
              <w:rPr>
                <w:sz w:val="24"/>
              </w:rPr>
              <w:t>86,</w:t>
            </w:r>
            <w:r>
              <w:rPr>
                <w:rFonts w:hint="eastAsia"/>
                <w:sz w:val="24"/>
              </w:rPr>
              <w:t>5</w:t>
            </w:r>
            <w:r>
              <w:rPr>
                <w:sz w:val="24"/>
              </w:rPr>
              <w:t>04</w:t>
            </w:r>
          </w:p>
        </w:tc>
        <w:tc>
          <w:tcPr>
            <w:tcW w:w="1462" w:type="dxa"/>
            <w:tcBorders>
              <w:top w:val="single" w:color="008000" w:sz="8" w:space="0"/>
              <w:left w:val="nil"/>
              <w:bottom w:val="nil"/>
              <w:right w:val="single" w:color="008000" w:sz="4" w:space="0"/>
            </w:tcBorders>
            <w:shd w:val="clear" w:color="auto" w:fill="FFFFFF"/>
            <w:vAlign w:val="center"/>
          </w:tcPr>
          <w:p>
            <w:pPr>
              <w:adjustRightInd w:val="0"/>
              <w:snapToGrid w:val="0"/>
              <w:jc w:val="center"/>
              <w:rPr>
                <w:sz w:val="24"/>
              </w:rPr>
            </w:pPr>
            <w:r>
              <w:rPr>
                <w:sz w:val="24"/>
              </w:rPr>
              <w:t>–310</w:t>
            </w:r>
            <w:r>
              <w:rPr>
                <w:rFonts w:hint="eastAsia"/>
                <w:sz w:val="24"/>
              </w:rPr>
              <w:t>,</w:t>
            </w:r>
            <w:r>
              <w:rPr>
                <w:sz w:val="24"/>
              </w:rPr>
              <w:t>592</w:t>
            </w:r>
          </w:p>
        </w:tc>
        <w:tc>
          <w:tcPr>
            <w:tcW w:w="1462" w:type="dxa"/>
            <w:tcBorders>
              <w:top w:val="single" w:color="008000" w:sz="8" w:space="0"/>
              <w:left w:val="nil"/>
              <w:bottom w:val="nil"/>
              <w:right w:val="single" w:color="008000" w:sz="4" w:space="0"/>
            </w:tcBorders>
            <w:shd w:val="clear" w:color="auto" w:fill="FFFFFF"/>
            <w:vAlign w:val="center"/>
          </w:tcPr>
          <w:p>
            <w:pPr>
              <w:adjustRightInd w:val="0"/>
              <w:snapToGrid w:val="0"/>
              <w:jc w:val="center"/>
              <w:rPr>
                <w:sz w:val="24"/>
              </w:rPr>
            </w:pPr>
            <w:r>
              <w:rPr>
                <w:sz w:val="24"/>
              </w:rPr>
              <w:t>–6</w:t>
            </w:r>
            <w:r>
              <w:rPr>
                <w:rFonts w:hint="eastAsia"/>
                <w:sz w:val="24"/>
              </w:rPr>
              <w:t>5</w:t>
            </w:r>
            <w:r>
              <w:rPr>
                <w:sz w:val="24"/>
              </w:rPr>
              <w:t>,814</w:t>
            </w:r>
          </w:p>
        </w:tc>
        <w:tc>
          <w:tcPr>
            <w:tcW w:w="1465" w:type="dxa"/>
            <w:tcBorders>
              <w:top w:val="single" w:color="008000" w:sz="8" w:space="0"/>
              <w:left w:val="nil"/>
              <w:bottom w:val="nil"/>
              <w:right w:val="nil"/>
            </w:tcBorders>
            <w:shd w:val="clear" w:color="auto" w:fill="FFFFFF"/>
            <w:vAlign w:val="center"/>
          </w:tcPr>
          <w:p>
            <w:pPr>
              <w:adjustRightInd w:val="0"/>
              <w:snapToGrid w:val="0"/>
              <w:jc w:val="center"/>
              <w:rPr>
                <w:sz w:val="24"/>
              </w:rPr>
            </w:pPr>
            <w:r>
              <w:rPr>
                <w:sz w:val="24"/>
              </w:rPr>
              <w:t>–35,155</w:t>
            </w:r>
          </w:p>
        </w:tc>
      </w:tr>
      <w:tr>
        <w:tblPrEx>
          <w:tblLayout w:type="fixed"/>
          <w:tblCellMar>
            <w:top w:w="0" w:type="dxa"/>
            <w:left w:w="0" w:type="dxa"/>
            <w:bottom w:w="0" w:type="dxa"/>
            <w:right w:w="0" w:type="dxa"/>
          </w:tblCellMar>
        </w:tblPrEx>
        <w:trPr>
          <w:trHeight w:val="369" w:hRule="atLeast"/>
          <w:jc w:val="center"/>
        </w:trPr>
        <w:tc>
          <w:tcPr>
            <w:tcW w:w="2632" w:type="dxa"/>
            <w:tcBorders>
              <w:top w:val="nil"/>
              <w:left w:val="nil"/>
              <w:bottom w:val="nil"/>
              <w:right w:val="single" w:color="008000" w:sz="4" w:space="0"/>
            </w:tcBorders>
            <w:shd w:val="clear" w:color="auto" w:fill="CCFFCC"/>
            <w:vAlign w:val="center"/>
          </w:tcPr>
          <w:p>
            <w:pPr>
              <w:adjustRightInd w:val="0"/>
              <w:snapToGrid w:val="0"/>
              <w:jc w:val="left"/>
              <w:rPr>
                <w:sz w:val="24"/>
                <w:vertAlign w:val="superscript"/>
              </w:rPr>
            </w:pPr>
            <w:r>
              <w:rPr>
                <w:rFonts w:hAnsi="宋体"/>
                <w:sz w:val="24"/>
              </w:rPr>
              <w:t>Chinese-funded medium-sized banks</w:t>
            </w:r>
            <w:r>
              <w:rPr>
                <w:sz w:val="24"/>
                <w:vertAlign w:val="superscript"/>
              </w:rPr>
              <w:fldChar w:fldCharType="begin"/>
            </w:r>
            <w:r>
              <w:rPr>
                <w:sz w:val="24"/>
                <w:vertAlign w:val="superscript"/>
              </w:rPr>
              <w:instrText xml:space="preserve"> = 2 \* GB3 </w:instrText>
            </w:r>
            <w:r>
              <w:rPr>
                <w:sz w:val="24"/>
                <w:vertAlign w:val="superscript"/>
              </w:rPr>
              <w:fldChar w:fldCharType="separate"/>
            </w:r>
            <w:r>
              <w:rPr>
                <w:rFonts w:hint="eastAsia" w:ascii="宋体" w:hAnsi="宋体"/>
                <w:sz w:val="24"/>
                <w:vertAlign w:val="superscript"/>
              </w:rPr>
              <w:t>②</w:t>
            </w:r>
            <w:r>
              <w:rPr>
                <w:sz w:val="24"/>
                <w:vertAlign w:val="superscript"/>
              </w:rPr>
              <w:fldChar w:fldCharType="end"/>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sz w:val="24"/>
              </w:rPr>
              <w:t>–215</w:t>
            </w:r>
            <w:r>
              <w:rPr>
                <w:rFonts w:hint="eastAsia"/>
                <w:sz w:val="24"/>
              </w:rPr>
              <w:t>,</w:t>
            </w:r>
            <w:r>
              <w:rPr>
                <w:sz w:val="24"/>
              </w:rPr>
              <w:t>385</w:t>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sz w:val="24"/>
              </w:rPr>
              <w:t>–107</w:t>
            </w:r>
            <w:r>
              <w:rPr>
                <w:rFonts w:hint="eastAsia"/>
                <w:sz w:val="24"/>
              </w:rPr>
              <w:t>,</w:t>
            </w:r>
            <w:r>
              <w:rPr>
                <w:sz w:val="24"/>
              </w:rPr>
              <w:t>624</w:t>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sz w:val="24"/>
              </w:rPr>
              <w:t>–37,</w:t>
            </w:r>
            <w:r>
              <w:rPr>
                <w:rFonts w:hint="eastAsia"/>
                <w:sz w:val="24"/>
              </w:rPr>
              <w:t>2</w:t>
            </w:r>
            <w:r>
              <w:rPr>
                <w:sz w:val="24"/>
              </w:rPr>
              <w:t>81</w:t>
            </w:r>
          </w:p>
        </w:tc>
        <w:tc>
          <w:tcPr>
            <w:tcW w:w="1465" w:type="dxa"/>
            <w:shd w:val="clear" w:color="auto" w:fill="CCFFCC"/>
            <w:vAlign w:val="center"/>
          </w:tcPr>
          <w:p>
            <w:pPr>
              <w:adjustRightInd w:val="0"/>
              <w:snapToGrid w:val="0"/>
              <w:jc w:val="center"/>
              <w:rPr>
                <w:sz w:val="24"/>
              </w:rPr>
            </w:pPr>
            <w:r>
              <w:rPr>
                <w:sz w:val="24"/>
              </w:rPr>
              <w:t>–</w:t>
            </w:r>
            <w:r>
              <w:rPr>
                <w:rFonts w:hint="eastAsia"/>
                <w:sz w:val="24"/>
              </w:rPr>
              <w:t>30</w:t>
            </w:r>
            <w:r>
              <w:rPr>
                <w:sz w:val="24"/>
              </w:rPr>
              <w:t>,11</w:t>
            </w:r>
            <w:r>
              <w:rPr>
                <w:rFonts w:hint="eastAsia"/>
                <w:sz w:val="24"/>
              </w:rPr>
              <w:t>9</w:t>
            </w:r>
          </w:p>
        </w:tc>
      </w:tr>
      <w:tr>
        <w:tblPrEx>
          <w:tblLayout w:type="fixed"/>
        </w:tblPrEx>
        <w:trPr>
          <w:trHeight w:val="369" w:hRule="atLeast"/>
          <w:jc w:val="center"/>
        </w:trPr>
        <w:tc>
          <w:tcPr>
            <w:tcW w:w="2632" w:type="dxa"/>
            <w:tcBorders>
              <w:top w:val="nil"/>
              <w:left w:val="nil"/>
              <w:bottom w:val="nil"/>
              <w:right w:val="single" w:color="008000" w:sz="4" w:space="0"/>
            </w:tcBorders>
            <w:shd w:val="clear" w:color="auto" w:fill="CCFFCC"/>
            <w:vAlign w:val="center"/>
          </w:tcPr>
          <w:p>
            <w:pPr>
              <w:adjustRightInd w:val="0"/>
              <w:snapToGrid w:val="0"/>
              <w:jc w:val="left"/>
              <w:rPr>
                <w:rFonts w:hAnsi="宋体"/>
                <w:sz w:val="24"/>
              </w:rPr>
            </w:pPr>
            <w:r>
              <w:rPr>
                <w:rFonts w:hint="eastAsia" w:hAnsi="宋体"/>
                <w:sz w:val="24"/>
              </w:rPr>
              <w:t>Chinese-funded small-sized banks</w:t>
            </w:r>
            <w:r>
              <w:rPr>
                <w:rFonts w:hint="eastAsia"/>
                <w:sz w:val="24"/>
                <w:vertAlign w:val="superscript"/>
              </w:rPr>
              <w:t>③</w:t>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rFonts w:hint="eastAsia"/>
                <w:sz w:val="24"/>
              </w:rPr>
              <w:t>132,983</w:t>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rFonts w:hint="eastAsia"/>
                <w:sz w:val="24"/>
              </w:rPr>
              <w:t>179,656</w:t>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rFonts w:hint="eastAsia"/>
                <w:sz w:val="24"/>
              </w:rPr>
              <w:t>45,250</w:t>
            </w:r>
          </w:p>
        </w:tc>
        <w:tc>
          <w:tcPr>
            <w:tcW w:w="1465" w:type="dxa"/>
            <w:shd w:val="clear" w:color="auto" w:fill="CCFFCC"/>
            <w:vAlign w:val="center"/>
          </w:tcPr>
          <w:p>
            <w:pPr>
              <w:adjustRightInd w:val="0"/>
              <w:snapToGrid w:val="0"/>
              <w:jc w:val="center"/>
              <w:rPr>
                <w:sz w:val="24"/>
              </w:rPr>
            </w:pPr>
            <w:r>
              <w:rPr>
                <w:rFonts w:hint="eastAsia"/>
                <w:sz w:val="24"/>
              </w:rPr>
              <w:t>24,994</w:t>
            </w:r>
          </w:p>
        </w:tc>
      </w:tr>
      <w:tr>
        <w:tblPrEx>
          <w:tblLayout w:type="fixed"/>
          <w:tblCellMar>
            <w:top w:w="0" w:type="dxa"/>
            <w:left w:w="0" w:type="dxa"/>
            <w:bottom w:w="0" w:type="dxa"/>
            <w:right w:w="0" w:type="dxa"/>
          </w:tblCellMar>
        </w:tblPrEx>
        <w:trPr>
          <w:trHeight w:val="369" w:hRule="atLeast"/>
          <w:jc w:val="center"/>
        </w:trPr>
        <w:tc>
          <w:tcPr>
            <w:tcW w:w="2632" w:type="dxa"/>
            <w:tcBorders>
              <w:top w:val="nil"/>
              <w:left w:val="nil"/>
              <w:bottom w:val="nil"/>
              <w:right w:val="single" w:color="008000" w:sz="4" w:space="0"/>
            </w:tcBorders>
            <w:shd w:val="clear" w:color="auto" w:fill="FFFFFF"/>
            <w:vAlign w:val="center"/>
          </w:tcPr>
          <w:p>
            <w:pPr>
              <w:adjustRightInd w:val="0"/>
              <w:snapToGrid w:val="0"/>
              <w:rPr>
                <w:sz w:val="24"/>
              </w:rPr>
            </w:pPr>
            <w:r>
              <w:rPr>
                <w:rFonts w:hAnsi="宋体"/>
                <w:sz w:val="24"/>
              </w:rPr>
              <w:t>Securities institutions</w:t>
            </w:r>
            <w:r>
              <w:rPr>
                <w:sz w:val="24"/>
                <w:vertAlign w:val="superscript"/>
              </w:rPr>
              <w:fldChar w:fldCharType="begin"/>
            </w:r>
            <w:r>
              <w:rPr>
                <w:sz w:val="24"/>
                <w:vertAlign w:val="superscript"/>
              </w:rPr>
              <w:instrText xml:space="preserve"> = 4 \* GB3 </w:instrText>
            </w:r>
            <w:r>
              <w:rPr>
                <w:sz w:val="24"/>
                <w:vertAlign w:val="superscript"/>
              </w:rPr>
              <w:fldChar w:fldCharType="separate"/>
            </w:r>
            <w:r>
              <w:rPr>
                <w:rFonts w:hint="eastAsia"/>
                <w:sz w:val="24"/>
                <w:vertAlign w:val="superscript"/>
              </w:rPr>
              <w:t>④</w:t>
            </w:r>
            <w:r>
              <w:rPr>
                <w:sz w:val="24"/>
                <w:vertAlign w:val="superscript"/>
              </w:rPr>
              <w:fldChar w:fldCharType="end"/>
            </w:r>
          </w:p>
        </w:tc>
        <w:tc>
          <w:tcPr>
            <w:tcW w:w="1462" w:type="dxa"/>
            <w:tcBorders>
              <w:top w:val="nil"/>
              <w:left w:val="nil"/>
              <w:bottom w:val="nil"/>
              <w:right w:val="single" w:color="008000" w:sz="4" w:space="0"/>
            </w:tcBorders>
            <w:shd w:val="clear" w:color="auto" w:fill="FFFFFF"/>
            <w:vAlign w:val="center"/>
          </w:tcPr>
          <w:p>
            <w:pPr>
              <w:adjustRightInd w:val="0"/>
              <w:snapToGrid w:val="0"/>
              <w:jc w:val="center"/>
              <w:rPr>
                <w:sz w:val="24"/>
              </w:rPr>
            </w:pPr>
            <w:r>
              <w:rPr>
                <w:rFonts w:hint="eastAsia"/>
                <w:sz w:val="24"/>
              </w:rPr>
              <w:t>134</w:t>
            </w:r>
            <w:r>
              <w:rPr>
                <w:sz w:val="24"/>
              </w:rPr>
              <w:t>,676</w:t>
            </w:r>
          </w:p>
        </w:tc>
        <w:tc>
          <w:tcPr>
            <w:tcW w:w="1462" w:type="dxa"/>
            <w:tcBorders>
              <w:top w:val="nil"/>
              <w:left w:val="nil"/>
              <w:bottom w:val="nil"/>
              <w:right w:val="single" w:color="008000" w:sz="4" w:space="0"/>
            </w:tcBorders>
            <w:shd w:val="clear" w:color="auto" w:fill="FFFFFF"/>
            <w:vAlign w:val="center"/>
          </w:tcPr>
          <w:p>
            <w:pPr>
              <w:adjustRightInd w:val="0"/>
              <w:snapToGrid w:val="0"/>
              <w:jc w:val="center"/>
              <w:rPr>
                <w:sz w:val="24"/>
              </w:rPr>
            </w:pPr>
            <w:r>
              <w:rPr>
                <w:sz w:val="24"/>
              </w:rPr>
              <w:t>78,088</w:t>
            </w:r>
          </w:p>
        </w:tc>
        <w:tc>
          <w:tcPr>
            <w:tcW w:w="1462" w:type="dxa"/>
            <w:tcBorders>
              <w:top w:val="nil"/>
              <w:left w:val="nil"/>
              <w:bottom w:val="nil"/>
              <w:right w:val="single" w:color="008000" w:sz="4" w:space="0"/>
            </w:tcBorders>
            <w:shd w:val="clear" w:color="auto" w:fill="FFFFFF"/>
            <w:vAlign w:val="center"/>
          </w:tcPr>
          <w:p>
            <w:pPr>
              <w:adjustRightInd w:val="0"/>
              <w:snapToGrid w:val="0"/>
              <w:jc w:val="center"/>
              <w:rPr>
                <w:sz w:val="24"/>
              </w:rPr>
            </w:pPr>
            <w:r>
              <w:rPr>
                <w:sz w:val="24"/>
              </w:rPr>
              <w:t>41,</w:t>
            </w:r>
            <w:r>
              <w:rPr>
                <w:rFonts w:hint="eastAsia"/>
                <w:sz w:val="24"/>
              </w:rPr>
              <w:t>8</w:t>
            </w:r>
            <w:r>
              <w:rPr>
                <w:sz w:val="24"/>
              </w:rPr>
              <w:t>74</w:t>
            </w:r>
          </w:p>
        </w:tc>
        <w:tc>
          <w:tcPr>
            <w:tcW w:w="1465" w:type="dxa"/>
            <w:shd w:val="clear" w:color="auto" w:fill="FFFFFF"/>
            <w:vAlign w:val="center"/>
          </w:tcPr>
          <w:p>
            <w:pPr>
              <w:adjustRightInd w:val="0"/>
              <w:snapToGrid w:val="0"/>
              <w:jc w:val="center"/>
              <w:rPr>
                <w:sz w:val="24"/>
              </w:rPr>
            </w:pPr>
            <w:r>
              <w:rPr>
                <w:sz w:val="24"/>
              </w:rPr>
              <w:t>28,98</w:t>
            </w:r>
            <w:r>
              <w:rPr>
                <w:rFonts w:hint="eastAsia"/>
                <w:sz w:val="24"/>
              </w:rPr>
              <w:t>5</w:t>
            </w:r>
          </w:p>
        </w:tc>
      </w:tr>
      <w:tr>
        <w:tblPrEx>
          <w:tblLayout w:type="fixed"/>
          <w:tblCellMar>
            <w:top w:w="0" w:type="dxa"/>
            <w:left w:w="0" w:type="dxa"/>
            <w:bottom w:w="0" w:type="dxa"/>
            <w:right w:w="0" w:type="dxa"/>
          </w:tblCellMar>
        </w:tblPrEx>
        <w:trPr>
          <w:trHeight w:val="369" w:hRule="atLeast"/>
          <w:jc w:val="center"/>
        </w:trPr>
        <w:tc>
          <w:tcPr>
            <w:tcW w:w="2632" w:type="dxa"/>
            <w:tcBorders>
              <w:top w:val="nil"/>
              <w:left w:val="nil"/>
              <w:bottom w:val="nil"/>
              <w:right w:val="single" w:color="008000" w:sz="4" w:space="0"/>
            </w:tcBorders>
            <w:shd w:val="clear" w:color="auto" w:fill="CCFFCC"/>
            <w:vAlign w:val="center"/>
          </w:tcPr>
          <w:p>
            <w:pPr>
              <w:adjustRightInd w:val="0"/>
              <w:snapToGrid w:val="0"/>
              <w:rPr>
                <w:sz w:val="24"/>
              </w:rPr>
            </w:pPr>
            <w:r>
              <w:rPr>
                <w:rFonts w:hAnsi="宋体"/>
                <w:sz w:val="24"/>
              </w:rPr>
              <w:t>Insurance institutions</w:t>
            </w:r>
            <w:r>
              <w:rPr>
                <w:sz w:val="24"/>
                <w:vertAlign w:val="superscript"/>
              </w:rPr>
              <w:fldChar w:fldCharType="begin"/>
            </w:r>
            <w:r>
              <w:rPr>
                <w:sz w:val="24"/>
                <w:vertAlign w:val="superscript"/>
              </w:rPr>
              <w:instrText xml:space="preserve"> = 5 \* GB3 </w:instrText>
            </w:r>
            <w:r>
              <w:rPr>
                <w:sz w:val="24"/>
                <w:vertAlign w:val="superscript"/>
              </w:rPr>
              <w:fldChar w:fldCharType="separate"/>
            </w:r>
            <w:r>
              <w:rPr>
                <w:rFonts w:hint="eastAsia"/>
                <w:sz w:val="24"/>
                <w:vertAlign w:val="superscript"/>
              </w:rPr>
              <w:t>⑤</w:t>
            </w:r>
            <w:r>
              <w:rPr>
                <w:sz w:val="24"/>
                <w:vertAlign w:val="superscript"/>
              </w:rPr>
              <w:fldChar w:fldCharType="end"/>
            </w:r>
          </w:p>
        </w:tc>
        <w:tc>
          <w:tcPr>
            <w:tcW w:w="1462" w:type="dxa"/>
            <w:tcBorders>
              <w:top w:val="nil"/>
              <w:left w:val="nil"/>
              <w:bottom w:val="nil"/>
              <w:right w:val="single" w:color="008000" w:sz="4" w:space="0"/>
            </w:tcBorders>
            <w:shd w:val="clear" w:color="auto" w:fill="CCFFCC"/>
            <w:vAlign w:val="center"/>
          </w:tcPr>
          <w:p>
            <w:pPr>
              <w:adjustRightInd w:val="0"/>
              <w:snapToGrid w:val="0"/>
              <w:jc w:val="center"/>
              <w:rPr>
                <w:sz w:val="24"/>
              </w:rPr>
            </w:pPr>
            <w:r>
              <w:rPr>
                <w:sz w:val="24"/>
              </w:rPr>
              <w:t>9,</w:t>
            </w:r>
            <w:r>
              <w:rPr>
                <w:rFonts w:hint="eastAsia"/>
                <w:sz w:val="24"/>
              </w:rPr>
              <w:t>3</w:t>
            </w:r>
            <w:r>
              <w:rPr>
                <w:sz w:val="24"/>
              </w:rPr>
              <w:t>77</w:t>
            </w:r>
          </w:p>
        </w:tc>
        <w:tc>
          <w:tcPr>
            <w:tcW w:w="1462" w:type="dxa"/>
            <w:tcBorders>
              <w:top w:val="nil"/>
              <w:left w:val="nil"/>
              <w:bottom w:val="nil"/>
              <w:right w:val="single" w:color="008000" w:sz="4" w:space="0"/>
            </w:tcBorders>
            <w:shd w:val="clear" w:color="auto" w:fill="CCFFCC"/>
            <w:vAlign w:val="center"/>
          </w:tcPr>
          <w:p>
            <w:pPr>
              <w:tabs>
                <w:tab w:val="center" w:pos="4320"/>
                <w:tab w:val="right" w:pos="8640"/>
              </w:tabs>
              <w:adjustRightInd w:val="0"/>
              <w:snapToGrid w:val="0"/>
              <w:jc w:val="center"/>
              <w:rPr>
                <w:sz w:val="24"/>
              </w:rPr>
            </w:pPr>
            <w:r>
              <w:rPr>
                <w:sz w:val="24"/>
              </w:rPr>
              <w:t>-14,</w:t>
            </w:r>
            <w:r>
              <w:rPr>
                <w:rFonts w:hint="eastAsia"/>
                <w:sz w:val="24"/>
              </w:rPr>
              <w:t>0</w:t>
            </w:r>
            <w:r>
              <w:rPr>
                <w:sz w:val="24"/>
              </w:rPr>
              <w:t>8</w:t>
            </w:r>
            <w:r>
              <w:rPr>
                <w:rFonts w:hint="eastAsia"/>
                <w:sz w:val="24"/>
              </w:rPr>
              <w:t>3</w:t>
            </w:r>
          </w:p>
        </w:tc>
        <w:tc>
          <w:tcPr>
            <w:tcW w:w="1462" w:type="dxa"/>
            <w:tcBorders>
              <w:top w:val="nil"/>
              <w:left w:val="nil"/>
              <w:bottom w:val="nil"/>
              <w:right w:val="single" w:color="008000" w:sz="4" w:space="0"/>
            </w:tcBorders>
            <w:shd w:val="clear" w:color="auto" w:fill="CCFFCC"/>
            <w:vAlign w:val="center"/>
          </w:tcPr>
          <w:p>
            <w:pPr>
              <w:tabs>
                <w:tab w:val="center" w:pos="4320"/>
                <w:tab w:val="right" w:pos="8640"/>
              </w:tabs>
              <w:adjustRightInd w:val="0"/>
              <w:snapToGrid w:val="0"/>
              <w:jc w:val="center"/>
              <w:rPr>
                <w:sz w:val="24"/>
              </w:rPr>
            </w:pPr>
            <w:r>
              <w:rPr>
                <w:sz w:val="24"/>
              </w:rPr>
              <w:t>82</w:t>
            </w:r>
          </w:p>
        </w:tc>
        <w:tc>
          <w:tcPr>
            <w:tcW w:w="1465" w:type="dxa"/>
            <w:shd w:val="clear" w:color="auto" w:fill="CCFFCC"/>
            <w:vAlign w:val="center"/>
          </w:tcPr>
          <w:p>
            <w:pPr>
              <w:tabs>
                <w:tab w:val="center" w:pos="4320"/>
                <w:tab w:val="right" w:pos="8640"/>
              </w:tabs>
              <w:adjustRightInd w:val="0"/>
              <w:snapToGrid w:val="0"/>
              <w:jc w:val="center"/>
              <w:rPr>
                <w:sz w:val="24"/>
              </w:rPr>
            </w:pPr>
            <w:r>
              <w:rPr>
                <w:sz w:val="24"/>
              </w:rPr>
              <w:t>9</w:t>
            </w:r>
          </w:p>
        </w:tc>
      </w:tr>
      <w:tr>
        <w:tblPrEx>
          <w:tblLayout w:type="fixed"/>
          <w:tblCellMar>
            <w:top w:w="0" w:type="dxa"/>
            <w:left w:w="0" w:type="dxa"/>
            <w:bottom w:w="0" w:type="dxa"/>
            <w:right w:w="0" w:type="dxa"/>
          </w:tblCellMar>
        </w:tblPrEx>
        <w:trPr>
          <w:trHeight w:val="369" w:hRule="atLeast"/>
          <w:jc w:val="center"/>
        </w:trPr>
        <w:tc>
          <w:tcPr>
            <w:tcW w:w="2632" w:type="dxa"/>
            <w:tcBorders>
              <w:top w:val="nil"/>
              <w:left w:val="nil"/>
              <w:bottom w:val="nil"/>
              <w:right w:val="single" w:color="008000" w:sz="4" w:space="0"/>
            </w:tcBorders>
            <w:shd w:val="clear" w:color="auto" w:fill="FFFFFF"/>
            <w:vAlign w:val="center"/>
          </w:tcPr>
          <w:p>
            <w:pPr>
              <w:tabs>
                <w:tab w:val="center" w:pos="4320"/>
                <w:tab w:val="right" w:pos="8640"/>
              </w:tabs>
              <w:adjustRightInd w:val="0"/>
              <w:snapToGrid w:val="0"/>
              <w:rPr>
                <w:sz w:val="24"/>
              </w:rPr>
            </w:pPr>
            <w:r>
              <w:rPr>
                <w:rFonts w:hAnsi="宋体"/>
                <w:sz w:val="24"/>
              </w:rPr>
              <w:t>Foreign-funded banks</w:t>
            </w:r>
          </w:p>
        </w:tc>
        <w:tc>
          <w:tcPr>
            <w:tcW w:w="1462" w:type="dxa"/>
            <w:tcBorders>
              <w:top w:val="nil"/>
              <w:left w:val="nil"/>
              <w:bottom w:val="nil"/>
              <w:right w:val="single" w:color="008000" w:sz="4" w:space="0"/>
            </w:tcBorders>
            <w:shd w:val="clear" w:color="auto" w:fill="FFFFFF"/>
            <w:vAlign w:val="center"/>
          </w:tcPr>
          <w:p>
            <w:pPr>
              <w:tabs>
                <w:tab w:val="center" w:pos="4320"/>
                <w:tab w:val="right" w:pos="8640"/>
              </w:tabs>
              <w:adjustRightInd w:val="0"/>
              <w:snapToGrid w:val="0"/>
              <w:jc w:val="center"/>
              <w:rPr>
                <w:sz w:val="24"/>
              </w:rPr>
            </w:pPr>
            <w:r>
              <w:rPr>
                <w:rFonts w:hint="eastAsia"/>
                <w:sz w:val="24"/>
              </w:rPr>
              <w:t>1</w:t>
            </w:r>
            <w:r>
              <w:rPr>
                <w:sz w:val="24"/>
              </w:rPr>
              <w:t>8,860</w:t>
            </w:r>
          </w:p>
        </w:tc>
        <w:tc>
          <w:tcPr>
            <w:tcW w:w="1462" w:type="dxa"/>
            <w:tcBorders>
              <w:top w:val="nil"/>
              <w:left w:val="nil"/>
              <w:bottom w:val="nil"/>
              <w:right w:val="single" w:color="008000" w:sz="4" w:space="0"/>
            </w:tcBorders>
            <w:shd w:val="clear" w:color="auto" w:fill="FFFFFF"/>
            <w:vAlign w:val="center"/>
          </w:tcPr>
          <w:p>
            <w:pPr>
              <w:tabs>
                <w:tab w:val="center" w:pos="4320"/>
                <w:tab w:val="right" w:pos="8640"/>
              </w:tabs>
              <w:adjustRightInd w:val="0"/>
              <w:snapToGrid w:val="0"/>
              <w:jc w:val="center"/>
              <w:rPr>
                <w:sz w:val="24"/>
              </w:rPr>
            </w:pPr>
            <w:r>
              <w:rPr>
                <w:sz w:val="24"/>
              </w:rPr>
              <w:t>13,255</w:t>
            </w:r>
          </w:p>
        </w:tc>
        <w:tc>
          <w:tcPr>
            <w:tcW w:w="1462" w:type="dxa"/>
            <w:tcBorders>
              <w:top w:val="nil"/>
              <w:left w:val="nil"/>
              <w:bottom w:val="nil"/>
              <w:right w:val="single" w:color="008000" w:sz="4" w:space="0"/>
            </w:tcBorders>
            <w:shd w:val="clear" w:color="auto" w:fill="FFFFFF"/>
            <w:vAlign w:val="center"/>
          </w:tcPr>
          <w:p>
            <w:pPr>
              <w:tabs>
                <w:tab w:val="center" w:pos="4320"/>
                <w:tab w:val="right" w:pos="8640"/>
              </w:tabs>
              <w:adjustRightInd w:val="0"/>
              <w:snapToGrid w:val="0"/>
              <w:jc w:val="center"/>
              <w:rPr>
                <w:sz w:val="24"/>
              </w:rPr>
            </w:pPr>
            <w:r>
              <w:rPr>
                <w:sz w:val="24"/>
              </w:rPr>
              <w:t>5</w:t>
            </w:r>
            <w:r>
              <w:rPr>
                <w:rFonts w:hint="eastAsia"/>
                <w:sz w:val="24"/>
              </w:rPr>
              <w:t>79</w:t>
            </w:r>
          </w:p>
        </w:tc>
        <w:tc>
          <w:tcPr>
            <w:tcW w:w="1465" w:type="dxa"/>
            <w:shd w:val="clear" w:color="auto" w:fill="FFFFFF"/>
            <w:vAlign w:val="center"/>
          </w:tcPr>
          <w:p>
            <w:pPr>
              <w:tabs>
                <w:tab w:val="center" w:pos="4320"/>
                <w:tab w:val="right" w:pos="8640"/>
              </w:tabs>
              <w:adjustRightInd w:val="0"/>
              <w:snapToGrid w:val="0"/>
              <w:jc w:val="center"/>
              <w:rPr>
                <w:sz w:val="24"/>
              </w:rPr>
            </w:pPr>
            <w:r>
              <w:rPr>
                <w:sz w:val="24"/>
              </w:rPr>
              <w:t>1,779</w:t>
            </w:r>
          </w:p>
        </w:tc>
      </w:tr>
      <w:tr>
        <w:tblPrEx>
          <w:tblLayout w:type="fixed"/>
          <w:tblCellMar>
            <w:top w:w="0" w:type="dxa"/>
            <w:left w:w="0" w:type="dxa"/>
            <w:bottom w:w="0" w:type="dxa"/>
            <w:right w:w="0" w:type="dxa"/>
          </w:tblCellMar>
        </w:tblPrEx>
        <w:trPr>
          <w:trHeight w:val="369" w:hRule="atLeast"/>
          <w:jc w:val="center"/>
        </w:trPr>
        <w:tc>
          <w:tcPr>
            <w:tcW w:w="2632" w:type="dxa"/>
            <w:tcBorders>
              <w:top w:val="nil"/>
              <w:left w:val="nil"/>
              <w:bottom w:val="single" w:color="008000" w:sz="12" w:space="0"/>
              <w:right w:val="single" w:color="008000" w:sz="4" w:space="0"/>
            </w:tcBorders>
            <w:shd w:val="clear" w:color="auto" w:fill="CCFFCC"/>
            <w:vAlign w:val="center"/>
          </w:tcPr>
          <w:p>
            <w:pPr>
              <w:tabs>
                <w:tab w:val="center" w:pos="4320"/>
                <w:tab w:val="right" w:pos="8640"/>
              </w:tabs>
              <w:adjustRightInd w:val="0"/>
              <w:snapToGrid w:val="0"/>
              <w:rPr>
                <w:sz w:val="24"/>
              </w:rPr>
            </w:pPr>
            <w:r>
              <w:rPr>
                <w:rFonts w:hAnsi="宋体"/>
                <w:sz w:val="24"/>
              </w:rPr>
              <w:t>Other financial institutions and vehicles</w:t>
            </w:r>
            <w:r>
              <w:rPr>
                <w:rFonts w:hint="eastAsia" w:ascii="宋体"/>
                <w:kern w:val="0"/>
                <w:vertAlign w:val="superscript"/>
              </w:rPr>
              <w:t>⑥</w:t>
            </w:r>
          </w:p>
        </w:tc>
        <w:tc>
          <w:tcPr>
            <w:tcW w:w="1462" w:type="dxa"/>
            <w:tcBorders>
              <w:top w:val="nil"/>
              <w:left w:val="nil"/>
              <w:bottom w:val="single" w:color="339966" w:sz="12" w:space="0"/>
              <w:right w:val="single" w:color="008000" w:sz="4" w:space="0"/>
            </w:tcBorders>
            <w:shd w:val="clear" w:color="auto" w:fill="CCFFCC"/>
            <w:vAlign w:val="center"/>
          </w:tcPr>
          <w:p>
            <w:pPr>
              <w:adjustRightInd w:val="0"/>
              <w:snapToGrid w:val="0"/>
              <w:jc w:val="center"/>
              <w:rPr>
                <w:sz w:val="24"/>
              </w:rPr>
            </w:pPr>
            <w:r>
              <w:rPr>
                <w:sz w:val="24"/>
              </w:rPr>
              <w:t>305</w:t>
            </w:r>
            <w:r>
              <w:rPr>
                <w:rFonts w:hint="eastAsia"/>
                <w:sz w:val="24"/>
              </w:rPr>
              <w:t>,99</w:t>
            </w:r>
            <w:r>
              <w:rPr>
                <w:sz w:val="24"/>
              </w:rPr>
              <w:t>4</w:t>
            </w:r>
          </w:p>
        </w:tc>
        <w:tc>
          <w:tcPr>
            <w:tcW w:w="1462" w:type="dxa"/>
            <w:tcBorders>
              <w:top w:val="nil"/>
              <w:left w:val="nil"/>
              <w:bottom w:val="single" w:color="339966" w:sz="12" w:space="0"/>
              <w:right w:val="single" w:color="008000" w:sz="4" w:space="0"/>
            </w:tcBorders>
            <w:shd w:val="clear" w:color="auto" w:fill="CCFFCC"/>
            <w:vAlign w:val="center"/>
          </w:tcPr>
          <w:p>
            <w:pPr>
              <w:adjustRightInd w:val="0"/>
              <w:snapToGrid w:val="0"/>
              <w:jc w:val="center"/>
              <w:rPr>
                <w:sz w:val="24"/>
              </w:rPr>
            </w:pPr>
            <w:r>
              <w:rPr>
                <w:rFonts w:hint="eastAsia"/>
                <w:sz w:val="24"/>
              </w:rPr>
              <w:t>161</w:t>
            </w:r>
            <w:r>
              <w:rPr>
                <w:sz w:val="24"/>
              </w:rPr>
              <w:t>,29</w:t>
            </w:r>
            <w:r>
              <w:rPr>
                <w:rFonts w:hint="eastAsia"/>
                <w:sz w:val="24"/>
              </w:rPr>
              <w:t>9</w:t>
            </w:r>
          </w:p>
        </w:tc>
        <w:tc>
          <w:tcPr>
            <w:tcW w:w="1462" w:type="dxa"/>
            <w:tcBorders>
              <w:top w:val="nil"/>
              <w:left w:val="nil"/>
              <w:bottom w:val="single" w:color="339966" w:sz="12" w:space="0"/>
              <w:right w:val="single" w:color="008000" w:sz="4" w:space="0"/>
            </w:tcBorders>
            <w:shd w:val="clear" w:color="auto" w:fill="CCFFCC"/>
            <w:vAlign w:val="center"/>
          </w:tcPr>
          <w:p>
            <w:pPr>
              <w:adjustRightInd w:val="0"/>
              <w:snapToGrid w:val="0"/>
              <w:jc w:val="center"/>
              <w:rPr>
                <w:sz w:val="24"/>
              </w:rPr>
            </w:pPr>
            <w:r>
              <w:rPr>
                <w:sz w:val="24"/>
              </w:rPr>
              <w:t>15,399</w:t>
            </w:r>
          </w:p>
        </w:tc>
        <w:tc>
          <w:tcPr>
            <w:tcW w:w="1465" w:type="dxa"/>
            <w:tcBorders>
              <w:top w:val="nil"/>
              <w:left w:val="nil"/>
              <w:bottom w:val="single" w:color="339966" w:sz="12" w:space="0"/>
              <w:right w:val="nil"/>
            </w:tcBorders>
            <w:shd w:val="clear" w:color="auto" w:fill="CCFFCC"/>
            <w:vAlign w:val="center"/>
          </w:tcPr>
          <w:p>
            <w:pPr>
              <w:keepNext/>
              <w:adjustRightInd w:val="0"/>
              <w:snapToGrid w:val="0"/>
              <w:jc w:val="center"/>
              <w:rPr>
                <w:sz w:val="24"/>
              </w:rPr>
            </w:pPr>
            <w:r>
              <w:rPr>
                <w:sz w:val="24"/>
              </w:rPr>
              <w:t>9,507</w:t>
            </w:r>
          </w:p>
        </w:tc>
      </w:tr>
    </w:tbl>
    <w:p>
      <w:pPr>
        <w:autoSpaceDE w:val="0"/>
        <w:autoSpaceDN w:val="0"/>
        <w:adjustRightInd w:val="0"/>
        <w:snapToGrid w:val="0"/>
        <w:rPr>
          <w:rFonts w:eastAsia="楷体_GB2312"/>
          <w:sz w:val="24"/>
        </w:rPr>
      </w:pPr>
      <w:r>
        <w:rPr>
          <w:rFonts w:eastAsia="楷体_GB2312"/>
          <w:sz w:val="24"/>
        </w:rPr>
        <w:t>Notes</w:t>
      </w:r>
      <w:r>
        <w:rPr>
          <w:rFonts w:hint="eastAsia" w:ascii="宋体" w:hAnsi="宋体" w:cs="宋体"/>
          <w:sz w:val="24"/>
        </w:rPr>
        <w:t>：</w:t>
      </w:r>
      <w:r>
        <w:rPr>
          <w:rFonts w:eastAsia="楷体_GB2312"/>
          <w:sz w:val="24"/>
        </w:rPr>
        <w:fldChar w:fldCharType="begin"/>
      </w:r>
      <w:r>
        <w:rPr>
          <w:rFonts w:eastAsia="楷体_GB2312"/>
          <w:sz w:val="24"/>
        </w:rPr>
        <w:instrText xml:space="preserve"> = 1 \* GB3 </w:instrText>
      </w:r>
      <w:r>
        <w:rPr>
          <w:rFonts w:eastAsia="楷体_GB2312"/>
          <w:sz w:val="24"/>
        </w:rPr>
        <w:fldChar w:fldCharType="separate"/>
      </w:r>
      <w:r>
        <w:rPr>
          <w:rFonts w:hint="eastAsia" w:ascii="宋体" w:hAnsi="宋体" w:cs="宋体"/>
          <w:sz w:val="24"/>
        </w:rPr>
        <w:t>①</w:t>
      </w:r>
      <w:r>
        <w:rPr>
          <w:rFonts w:eastAsia="楷体_GB2312"/>
          <w:sz w:val="24"/>
        </w:rPr>
        <w:fldChar w:fldCharType="end"/>
      </w:r>
      <w:r>
        <w:rPr>
          <w:rFonts w:eastAsia="楷体_GB2312"/>
          <w:sz w:val="24"/>
        </w:rPr>
        <w:t xml:space="preserve"> Chinese-funded large banks include the Industrial and Commercial Bank of China, the Agricultural Bank of China, the Bank of China, the China Construction Bank, the China Development Bank, the Bank of Communications, and the Postal Savings Bank of China. </w:t>
      </w:r>
    </w:p>
    <w:p>
      <w:pPr>
        <w:autoSpaceDE w:val="0"/>
        <w:autoSpaceDN w:val="0"/>
        <w:adjustRightInd w:val="0"/>
        <w:snapToGrid w:val="0"/>
        <w:rPr>
          <w:rFonts w:eastAsia="楷体_GB2312"/>
          <w:sz w:val="24"/>
        </w:rPr>
      </w:pPr>
      <w:r>
        <w:rPr>
          <w:rFonts w:hint="eastAsia" w:ascii="宋体" w:hAnsi="宋体" w:cs="宋体"/>
          <w:sz w:val="24"/>
        </w:rPr>
        <w:t>②</w:t>
      </w:r>
      <w:r>
        <w:rPr>
          <w:rFonts w:eastAsia="楷体_GB2312"/>
          <w:sz w:val="24"/>
        </w:rPr>
        <w:t xml:space="preserve"> Chinese-funded medium-sized banks </w:t>
      </w:r>
      <w:r>
        <w:rPr>
          <w:rFonts w:hint="eastAsia" w:eastAsia="楷体_GB2312"/>
          <w:sz w:val="24"/>
        </w:rPr>
        <w:t>refer to</w:t>
      </w:r>
      <w:r>
        <w:rPr>
          <w:rFonts w:eastAsia="楷体_GB2312"/>
          <w:sz w:val="24"/>
        </w:rPr>
        <w:t xml:space="preserve"> the policy banks, the China Merchants Bank and other eight joint-equity commercial banks, the Bank</w:t>
      </w:r>
      <w:r>
        <w:rPr>
          <w:rFonts w:hint="eastAsia" w:eastAsia="楷体_GB2312"/>
          <w:sz w:val="24"/>
        </w:rPr>
        <w:t xml:space="preserve"> of Beijing</w:t>
      </w:r>
      <w:r>
        <w:rPr>
          <w:rFonts w:eastAsia="楷体_GB2312"/>
          <w:sz w:val="24"/>
        </w:rPr>
        <w:t>, the Bank</w:t>
      </w:r>
      <w:r>
        <w:rPr>
          <w:rFonts w:hint="eastAsia" w:eastAsia="楷体_GB2312"/>
          <w:sz w:val="24"/>
        </w:rPr>
        <w:t xml:space="preserve"> of Shanghai</w:t>
      </w:r>
      <w:r>
        <w:rPr>
          <w:rFonts w:eastAsia="楷体_GB2312"/>
          <w:sz w:val="24"/>
        </w:rPr>
        <w:t>, and the Bank</w:t>
      </w:r>
      <w:r>
        <w:rPr>
          <w:rFonts w:hint="eastAsia" w:eastAsia="楷体_GB2312"/>
          <w:sz w:val="24"/>
        </w:rPr>
        <w:t xml:space="preserve"> of Jiangsu</w:t>
      </w:r>
      <w:r>
        <w:rPr>
          <w:rFonts w:eastAsia="楷体_GB2312"/>
          <w:sz w:val="24"/>
        </w:rPr>
        <w:t>.</w:t>
      </w:r>
    </w:p>
    <w:p>
      <w:pPr>
        <w:autoSpaceDE w:val="0"/>
        <w:autoSpaceDN w:val="0"/>
        <w:adjustRightInd w:val="0"/>
        <w:snapToGrid w:val="0"/>
        <w:rPr>
          <w:sz w:val="24"/>
        </w:rPr>
      </w:pPr>
      <w:r>
        <w:rPr>
          <w:rFonts w:hint="eastAsia" w:ascii="宋体" w:hAnsi="宋体" w:cs="宋体"/>
          <w:sz w:val="24"/>
        </w:rPr>
        <w:t>③</w:t>
      </w:r>
      <w:r>
        <w:rPr>
          <w:rFonts w:eastAsia="楷体_GB2312"/>
          <w:sz w:val="24"/>
        </w:rPr>
        <w:t xml:space="preserve"> Chinese-funded small-sized banks </w:t>
      </w:r>
      <w:r>
        <w:rPr>
          <w:rFonts w:hint="eastAsia" w:eastAsia="楷体_GB2312"/>
          <w:sz w:val="24"/>
        </w:rPr>
        <w:t>refer to</w:t>
      </w:r>
      <w:r>
        <w:rPr>
          <w:rFonts w:eastAsia="楷体_GB2312"/>
          <w:sz w:val="24"/>
        </w:rPr>
        <w:t xml:space="preserve"> </w:t>
      </w:r>
      <w:r>
        <w:rPr>
          <w:rFonts w:hint="eastAsia" w:eastAsia="楷体_GB2312"/>
          <w:sz w:val="24"/>
        </w:rPr>
        <w:t>Hengfeng</w:t>
      </w:r>
      <w:r>
        <w:rPr>
          <w:rFonts w:eastAsia="楷体_GB2312"/>
          <w:sz w:val="24"/>
        </w:rPr>
        <w:t xml:space="preserve"> Bank, China Zheshang Bank, </w:t>
      </w:r>
      <w:r>
        <w:rPr>
          <w:rFonts w:hint="eastAsia" w:eastAsia="楷体_GB2312"/>
          <w:sz w:val="24"/>
        </w:rPr>
        <w:t xml:space="preserve">China </w:t>
      </w:r>
      <w:r>
        <w:rPr>
          <w:rFonts w:eastAsia="楷体_GB2312"/>
          <w:sz w:val="24"/>
        </w:rPr>
        <w:t xml:space="preserve">Bohai Bank, other city commercial banks, rural commercial banks, rural cooperative banks, and village and township banks. </w:t>
      </w:r>
    </w:p>
    <w:p>
      <w:pPr>
        <w:autoSpaceDE w:val="0"/>
        <w:autoSpaceDN w:val="0"/>
        <w:adjustRightInd w:val="0"/>
        <w:snapToGrid w:val="0"/>
        <w:rPr>
          <w:sz w:val="24"/>
        </w:rPr>
      </w:pPr>
      <w:r>
        <w:rPr>
          <w:rFonts w:hint="eastAsia"/>
          <w:sz w:val="24"/>
        </w:rPr>
        <w:t>④</w:t>
      </w:r>
      <w:r>
        <w:rPr>
          <w:sz w:val="24"/>
        </w:rPr>
        <w:t xml:space="preserve">Securities institutions include securities firms and fund-management </w:t>
      </w:r>
      <w:r>
        <w:rPr>
          <w:rFonts w:hint="eastAsia"/>
          <w:sz w:val="24"/>
        </w:rPr>
        <w:t xml:space="preserve">and futures </w:t>
      </w:r>
      <w:r>
        <w:rPr>
          <w:sz w:val="24"/>
        </w:rPr>
        <w:t xml:space="preserve">companies. </w:t>
      </w:r>
    </w:p>
    <w:p>
      <w:pPr>
        <w:autoSpaceDE w:val="0"/>
        <w:autoSpaceDN w:val="0"/>
        <w:adjustRightInd w:val="0"/>
        <w:snapToGrid w:val="0"/>
        <w:rPr>
          <w:sz w:val="24"/>
        </w:rPr>
      </w:pPr>
      <w:r>
        <w:rPr>
          <w:rFonts w:eastAsia="楷体_GB2312"/>
          <w:sz w:val="24"/>
        </w:rPr>
        <w:fldChar w:fldCharType="begin"/>
      </w:r>
      <w:r>
        <w:rPr>
          <w:rFonts w:eastAsia="楷体_GB2312"/>
          <w:sz w:val="24"/>
        </w:rPr>
        <w:instrText xml:space="preserve"> = 5 \* GB3 </w:instrText>
      </w:r>
      <w:r>
        <w:rPr>
          <w:rFonts w:eastAsia="楷体_GB2312"/>
          <w:sz w:val="24"/>
        </w:rPr>
        <w:fldChar w:fldCharType="separate"/>
      </w:r>
      <w:r>
        <w:rPr>
          <w:rFonts w:hint="eastAsia" w:ascii="宋体" w:hAnsi="宋体" w:cs="宋体"/>
          <w:sz w:val="24"/>
        </w:rPr>
        <w:t>⑤</w:t>
      </w:r>
      <w:r>
        <w:rPr>
          <w:rFonts w:eastAsia="楷体_GB2312"/>
          <w:sz w:val="24"/>
        </w:rPr>
        <w:fldChar w:fldCharType="end"/>
      </w:r>
      <w:r>
        <w:rPr>
          <w:sz w:val="24"/>
        </w:rPr>
        <w:t xml:space="preserve">Insurance institutions include insurance firms and corporate annuities. </w:t>
      </w:r>
    </w:p>
    <w:p>
      <w:pPr>
        <w:autoSpaceDE w:val="0"/>
        <w:autoSpaceDN w:val="0"/>
        <w:adjustRightInd w:val="0"/>
        <w:snapToGrid w:val="0"/>
        <w:rPr>
          <w:rFonts w:eastAsia="楷体_GB2312"/>
          <w:sz w:val="24"/>
        </w:rPr>
      </w:pPr>
      <w:r>
        <w:rPr>
          <w:rFonts w:eastAsia="楷体_GB2312"/>
          <w:sz w:val="24"/>
        </w:rPr>
        <w:fldChar w:fldCharType="begin"/>
      </w:r>
      <w:r>
        <w:rPr>
          <w:sz w:val="24"/>
        </w:rPr>
        <w:instrText xml:space="preserve"> = 6 \* GB3 </w:instrText>
      </w:r>
      <w:r>
        <w:rPr>
          <w:rFonts w:eastAsia="楷体_GB2312"/>
          <w:sz w:val="24"/>
        </w:rPr>
        <w:fldChar w:fldCharType="separate"/>
      </w:r>
      <w:r>
        <w:rPr>
          <w:rFonts w:hint="eastAsia"/>
          <w:sz w:val="24"/>
        </w:rPr>
        <w:t>⑥</w:t>
      </w:r>
      <w:r>
        <w:rPr>
          <w:rFonts w:eastAsia="楷体_GB2312"/>
          <w:sz w:val="24"/>
        </w:rPr>
        <w:fldChar w:fldCharType="end"/>
      </w:r>
      <w:r>
        <w:rPr>
          <w:rFonts w:eastAsia="楷体_GB2312"/>
          <w:sz w:val="24"/>
        </w:rPr>
        <w:t xml:space="preserve">Other financial institutions and vehicles include urban credit cooperatives, rural credit cooperatives, finance companies, trust and investment companies, financial leasing companies, asset-management companies, social-security funds, </w:t>
      </w:r>
      <w:r>
        <w:rPr>
          <w:rFonts w:hint="eastAsia" w:eastAsia="楷体_GB2312"/>
          <w:sz w:val="24"/>
        </w:rPr>
        <w:t xml:space="preserve">mutual </w:t>
      </w:r>
      <w:r>
        <w:rPr>
          <w:sz w:val="24"/>
        </w:rPr>
        <w:t>funds</w:t>
      </w:r>
      <w:r>
        <w:rPr>
          <w:rFonts w:eastAsia="楷体_GB2312"/>
          <w:sz w:val="24"/>
        </w:rPr>
        <w:t xml:space="preserve">, </w:t>
      </w:r>
      <w:r>
        <w:rPr>
          <w:sz w:val="24"/>
        </w:rPr>
        <w:t xml:space="preserve">wealth management products, trust plans, </w:t>
      </w:r>
      <w:r>
        <w:rPr>
          <w:rFonts w:eastAsia="楷体_GB2312"/>
          <w:sz w:val="24"/>
        </w:rPr>
        <w:t xml:space="preserve">and other investment vehicles. Some of these financial institutions and vehicles do not participate in the inter-bank </w:t>
      </w:r>
      <w:r>
        <w:rPr>
          <w:rFonts w:hint="eastAsia"/>
          <w:sz w:val="24"/>
        </w:rPr>
        <w:t>lending</w:t>
      </w:r>
      <w:r>
        <w:rPr>
          <w:rFonts w:eastAsia="楷体_GB2312"/>
          <w:sz w:val="24"/>
        </w:rPr>
        <w:t xml:space="preserve"> market. </w:t>
      </w:r>
    </w:p>
    <w:p>
      <w:pPr>
        <w:autoSpaceDE w:val="0"/>
        <w:autoSpaceDN w:val="0"/>
        <w:adjustRightInd w:val="0"/>
        <w:snapToGrid w:val="0"/>
        <w:rPr>
          <w:rFonts w:eastAsia="楷体_GB2312"/>
          <w:sz w:val="24"/>
        </w:rPr>
      </w:pPr>
      <w:r>
        <w:rPr>
          <w:rFonts w:hint="eastAsia"/>
          <w:sz w:val="24"/>
        </w:rPr>
        <w:t>⑦</w:t>
      </w:r>
      <w:r>
        <w:rPr>
          <w:rFonts w:eastAsia="楷体_GB2312"/>
          <w:sz w:val="24"/>
        </w:rPr>
        <w:t xml:space="preserve">A negative sign indicates net lending and a positive sign indicates net borrowing. </w:t>
      </w:r>
    </w:p>
    <w:p>
      <w:pPr>
        <w:autoSpaceDE w:val="0"/>
        <w:autoSpaceDN w:val="0"/>
        <w:adjustRightInd w:val="0"/>
        <w:snapToGrid w:val="0"/>
        <w:rPr>
          <w:rFonts w:eastAsia="楷体_GB2312"/>
          <w:sz w:val="24"/>
        </w:rPr>
      </w:pPr>
      <w:r>
        <w:rPr>
          <w:rFonts w:eastAsia="楷体_GB2312"/>
          <w:sz w:val="24"/>
        </w:rPr>
        <w:t xml:space="preserve">Source: China Foreign Exchange Trade System. </w:t>
      </w:r>
    </w:p>
    <w:p>
      <w:pPr>
        <w:autoSpaceDE w:val="0"/>
        <w:autoSpaceDN w:val="0"/>
        <w:adjustRightInd w:val="0"/>
        <w:snapToGrid w:val="0"/>
        <w:rPr>
          <w:rFonts w:ascii="Times" w:hAnsi="Times"/>
          <w:sz w:val="24"/>
        </w:rPr>
      </w:pPr>
    </w:p>
    <w:p>
      <w:pPr>
        <w:rPr>
          <w:rFonts w:ascii="Times" w:hAnsi="Times"/>
          <w:sz w:val="24"/>
        </w:rPr>
      </w:pPr>
      <w:r>
        <w:rPr>
          <w:rFonts w:ascii="Times" w:hAnsi="Times"/>
          <w:sz w:val="24"/>
        </w:rPr>
        <w:t xml:space="preserve">The inter-bank CD and CD businesses saw orderly development. In Q1, a total of 6,055 inter-bank CDs were issued on the inter-bank market, raising RMB 5.24 trillion. The trading volume on the secondary market totaled RMB 32.5 trillion. Issuances and trading were </w:t>
      </w:r>
      <w:r>
        <w:rPr>
          <w:rFonts w:hint="eastAsia" w:ascii="Times" w:hAnsi="Times"/>
          <w:sz w:val="24"/>
        </w:rPr>
        <w:t>all</w:t>
      </w:r>
      <w:r>
        <w:rPr>
          <w:rFonts w:ascii="Times" w:hAnsi="Times"/>
          <w:sz w:val="24"/>
        </w:rPr>
        <w:t xml:space="preserve"> priced based on the Shibor. The correlation between the issuance interest rates and the medium- and long-end Shibor was further </w:t>
      </w:r>
      <w:r>
        <w:rPr>
          <w:rFonts w:hint="eastAsia" w:ascii="Times" w:hAnsi="Times"/>
          <w:sz w:val="24"/>
        </w:rPr>
        <w:t>enhanced</w:t>
      </w:r>
      <w:r>
        <w:rPr>
          <w:rFonts w:ascii="Times" w:hAnsi="Times"/>
          <w:sz w:val="24"/>
        </w:rPr>
        <w:t>. In March 2018, the average weighted issuance interest rate of 3-month inter-bank CDs was 4.74 percent, 6 basis points higher than that of the 3-month Shibor. At end-March, a total of 6,700 CDs was issued by financial institutions, raising RMB 2.25 trillion, an increase of RMB 679.9 billion year on year. Orderly</w:t>
      </w:r>
      <w:r>
        <w:rPr>
          <w:rFonts w:hint="eastAsia" w:ascii="Times" w:hAnsi="Times"/>
          <w:sz w:val="24"/>
        </w:rPr>
        <w:t xml:space="preserve"> development</w:t>
      </w:r>
      <w:r>
        <w:rPr>
          <w:rFonts w:ascii="Times" w:hAnsi="Times"/>
          <w:sz w:val="24"/>
        </w:rPr>
        <w:t xml:space="preserve"> of the CD businesses has helped further expand the scope of market-priced liability products, build the pricing capability of financial institutions, and improve the formation and transmission mechanisms for market-based interest rates.</w:t>
      </w:r>
    </w:p>
    <w:p>
      <w:pPr>
        <w:autoSpaceDE w:val="0"/>
        <w:autoSpaceDN w:val="0"/>
        <w:adjustRightInd w:val="0"/>
        <w:snapToGrid w:val="0"/>
        <w:rPr>
          <w:rFonts w:ascii="Times" w:hAnsi="Times"/>
          <w:sz w:val="24"/>
        </w:rPr>
      </w:pPr>
    </w:p>
    <w:p>
      <w:pPr>
        <w:autoSpaceDE w:val="0"/>
        <w:autoSpaceDN w:val="0"/>
        <w:adjustRightInd w:val="0"/>
        <w:rPr>
          <w:kern w:val="0"/>
          <w:sz w:val="24"/>
        </w:rPr>
      </w:pPr>
      <w:r>
        <w:rPr>
          <w:b/>
          <w:sz w:val="24"/>
        </w:rPr>
        <w:t>Interest-rate swap trading was brisk</w:t>
      </w:r>
      <w:r>
        <w:rPr>
          <w:sz w:val="24"/>
        </w:rPr>
        <w:t>. In</w:t>
      </w:r>
      <w:r>
        <w:rPr>
          <w:rFonts w:hint="eastAsia"/>
          <w:sz w:val="24"/>
        </w:rPr>
        <w:t xml:space="preserve"> Q1</w:t>
      </w:r>
      <w:r>
        <w:rPr>
          <w:sz w:val="24"/>
        </w:rPr>
        <w:t>, 42,</w:t>
      </w:r>
      <w:r>
        <w:rPr>
          <w:rFonts w:hint="eastAsia"/>
          <w:sz w:val="24"/>
        </w:rPr>
        <w:t>4</w:t>
      </w:r>
      <w:r>
        <w:rPr>
          <w:sz w:val="24"/>
        </w:rPr>
        <w:t>6</w:t>
      </w:r>
      <w:r>
        <w:rPr>
          <w:rFonts w:hint="eastAsia"/>
          <w:sz w:val="24"/>
        </w:rPr>
        <w:t>4</w:t>
      </w:r>
      <w:r>
        <w:rPr>
          <w:sz w:val="24"/>
        </w:rPr>
        <w:t xml:space="preserve"> deals were reached on the </w:t>
      </w:r>
      <w:r>
        <w:rPr>
          <w:rFonts w:eastAsia="仿宋_GB2312"/>
          <w:sz w:val="24"/>
        </w:rPr>
        <w:t>RMB interest-rate swap</w:t>
      </w:r>
      <w:r>
        <w:rPr>
          <w:sz w:val="24"/>
        </w:rPr>
        <w:t xml:space="preserve"> market, </w:t>
      </w:r>
      <w:r>
        <w:rPr>
          <w:rFonts w:eastAsia="仿宋_GB2312"/>
          <w:sz w:val="24"/>
        </w:rPr>
        <w:t>an increase of 35.1</w:t>
      </w:r>
      <w:r>
        <w:rPr>
          <w:bCs/>
          <w:sz w:val="24"/>
        </w:rPr>
        <w:t xml:space="preserve"> percent year on year</w:t>
      </w:r>
      <w:r>
        <w:rPr>
          <w:rFonts w:hint="eastAsia"/>
          <w:bCs/>
          <w:sz w:val="24"/>
        </w:rPr>
        <w:t>, with</w:t>
      </w:r>
      <w:r>
        <w:rPr>
          <w:rFonts w:hint="eastAsia"/>
          <w:sz w:val="24"/>
        </w:rPr>
        <w:t xml:space="preserve"> the</w:t>
      </w:r>
      <w:r>
        <w:rPr>
          <w:sz w:val="24"/>
        </w:rPr>
        <w:t xml:space="preserve"> volume of the notional principal total</w:t>
      </w:r>
      <w:r>
        <w:rPr>
          <w:rFonts w:hint="eastAsia"/>
          <w:sz w:val="24"/>
        </w:rPr>
        <w:t>ing</w:t>
      </w:r>
      <w:r>
        <w:rPr>
          <w:sz w:val="24"/>
        </w:rPr>
        <w:t xml:space="preserve"> RMB 5.29 trillion, </w:t>
      </w:r>
      <w:r>
        <w:rPr>
          <w:rFonts w:eastAsia="仿宋_GB2312"/>
          <w:sz w:val="24"/>
        </w:rPr>
        <w:t>an increase of</w:t>
      </w:r>
      <w:r>
        <w:rPr>
          <w:sz w:val="24"/>
        </w:rPr>
        <w:t xml:space="preserve"> 97.05</w:t>
      </w:r>
      <w:r>
        <w:rPr>
          <w:rFonts w:eastAsia="仿宋_GB2312"/>
          <w:sz w:val="24"/>
        </w:rPr>
        <w:t xml:space="preserve"> percent year on year. In terms of the maturity structure, contracts with maturities of up to one year</w:t>
      </w:r>
      <w:r>
        <w:rPr>
          <w:sz w:val="24"/>
        </w:rPr>
        <w:t xml:space="preserve"> </w:t>
      </w:r>
      <w:r>
        <w:rPr>
          <w:rFonts w:eastAsia="仿宋_GB2312"/>
          <w:sz w:val="24"/>
        </w:rPr>
        <w:t>traded most briskly and the volume of their aggregate notional principal posted RMB</w:t>
      </w:r>
      <w:r>
        <w:rPr>
          <w:sz w:val="24"/>
        </w:rPr>
        <w:t xml:space="preserve"> 4.41 tr</w:t>
      </w:r>
      <w:r>
        <w:rPr>
          <w:rFonts w:eastAsia="仿宋_GB2312"/>
          <w:sz w:val="24"/>
        </w:rPr>
        <w:t xml:space="preserve">illion, accounting for </w:t>
      </w:r>
      <w:r>
        <w:rPr>
          <w:sz w:val="24"/>
        </w:rPr>
        <w:t>83.3</w:t>
      </w:r>
      <w:r>
        <w:rPr>
          <w:rFonts w:eastAsia="仿宋_GB2312"/>
          <w:sz w:val="24"/>
        </w:rPr>
        <w:t xml:space="preserve"> percent of the total. </w:t>
      </w:r>
      <w:r>
        <w:rPr>
          <w:kern w:val="0"/>
          <w:sz w:val="24"/>
        </w:rPr>
        <w:t xml:space="preserve">In terms of the reference rates, the 7-day fixed repo rate and the Shibor </w:t>
      </w:r>
      <w:r>
        <w:rPr>
          <w:rFonts w:hint="eastAsia"/>
          <w:kern w:val="0"/>
          <w:sz w:val="24"/>
        </w:rPr>
        <w:t>were</w:t>
      </w:r>
      <w:r>
        <w:rPr>
          <w:kern w:val="0"/>
          <w:sz w:val="24"/>
        </w:rPr>
        <w:t xml:space="preserve"> the two major floating reference rates for RMB interest-rate swap transactions. The notional principal of the interest-rate swaps with the two reference rates as benchmarks accounted for 84.2 percent and </w:t>
      </w:r>
      <w:r>
        <w:rPr>
          <w:rFonts w:hint="eastAsia"/>
          <w:kern w:val="0"/>
          <w:sz w:val="24"/>
        </w:rPr>
        <w:t>15.2</w:t>
      </w:r>
      <w:r>
        <w:rPr>
          <w:kern w:val="0"/>
          <w:sz w:val="24"/>
        </w:rPr>
        <w:t xml:space="preserve"> percent of the total, respectively.</w:t>
      </w:r>
    </w:p>
    <w:p>
      <w:pPr>
        <w:autoSpaceDE w:val="0"/>
        <w:autoSpaceDN w:val="0"/>
        <w:adjustRightInd w:val="0"/>
        <w:rPr>
          <w:b/>
          <w:sz w:val="24"/>
        </w:rPr>
      </w:pPr>
    </w:p>
    <w:p>
      <w:pPr>
        <w:keepNext/>
        <w:autoSpaceDE w:val="0"/>
        <w:autoSpaceDN w:val="0"/>
        <w:adjustRightInd w:val="0"/>
        <w:jc w:val="center"/>
        <w:rPr>
          <w:b/>
          <w:sz w:val="24"/>
        </w:rPr>
      </w:pPr>
      <w:bookmarkStart w:id="97" w:name="_Toc477878114"/>
      <w:bookmarkStart w:id="98" w:name="_Toc517190865"/>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10</w:t>
      </w:r>
      <w:r>
        <w:rPr>
          <w:b/>
          <w:sz w:val="24"/>
        </w:rPr>
        <w:fldChar w:fldCharType="end"/>
      </w:r>
      <w:r>
        <w:rPr>
          <w:b/>
          <w:sz w:val="24"/>
        </w:rPr>
        <w:t xml:space="preserve">. Transactions of Interest-Rate </w:t>
      </w:r>
      <w:r>
        <w:rPr>
          <w:rFonts w:hint="eastAsia"/>
          <w:b/>
          <w:sz w:val="24"/>
        </w:rPr>
        <w:t>Swaps,</w:t>
      </w:r>
      <w:r>
        <w:rPr>
          <w:b/>
          <w:sz w:val="24"/>
        </w:rPr>
        <w:t xml:space="preserve"> </w:t>
      </w:r>
      <w:r>
        <w:rPr>
          <w:rFonts w:hint="eastAsia"/>
          <w:b/>
          <w:sz w:val="24"/>
        </w:rPr>
        <w:t xml:space="preserve">Q1 </w:t>
      </w:r>
      <w:r>
        <w:rPr>
          <w:b/>
          <w:sz w:val="24"/>
        </w:rPr>
        <w:t>201</w:t>
      </w:r>
      <w:bookmarkEnd w:id="97"/>
      <w:r>
        <w:rPr>
          <w:rFonts w:hint="eastAsia"/>
          <w:b/>
          <w:sz w:val="24"/>
        </w:rPr>
        <w:t>8</w:t>
      </w:r>
      <w:bookmarkEnd w:id="98"/>
    </w:p>
    <w:tbl>
      <w:tblPr>
        <w:tblStyle w:val="96"/>
        <w:tblW w:w="8332"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7"/>
        <w:gridCol w:w="2410"/>
        <w:gridCol w:w="477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jc w:val="center"/>
        </w:trPr>
        <w:tc>
          <w:tcPr>
            <w:tcW w:w="1147" w:type="dxa"/>
            <w:tcBorders>
              <w:top w:val="single" w:color="339966" w:sz="12" w:space="0"/>
              <w:left w:val="nil"/>
              <w:bottom w:val="single" w:color="339966" w:sz="4" w:space="0"/>
              <w:right w:val="single" w:color="339966" w:sz="4" w:space="0"/>
            </w:tcBorders>
            <w:shd w:val="clear" w:color="auto" w:fill="CCFFCC"/>
            <w:vAlign w:val="center"/>
          </w:tcPr>
          <w:p>
            <w:pPr>
              <w:keepNext/>
              <w:keepLines/>
              <w:spacing w:beforeLines="200" w:afterLines="100"/>
              <w:jc w:val="center"/>
              <w:outlineLvl w:val="0"/>
              <w:rPr>
                <w:rFonts w:ascii="宋体" w:hAnsi="宋体" w:eastAsia="黑体"/>
                <w:sz w:val="24"/>
              </w:rPr>
            </w:pPr>
          </w:p>
        </w:tc>
        <w:tc>
          <w:tcPr>
            <w:tcW w:w="2410" w:type="dxa"/>
            <w:tcBorders>
              <w:top w:val="single" w:color="339966" w:sz="6" w:space="0"/>
              <w:left w:val="single" w:color="339966" w:sz="4" w:space="0"/>
              <w:bottom w:val="single" w:color="339966" w:sz="4" w:space="0"/>
              <w:right w:val="single" w:color="339966" w:sz="4" w:space="0"/>
            </w:tcBorders>
            <w:shd w:val="clear" w:color="auto" w:fill="CCFFCC"/>
            <w:tcMar>
              <w:top w:w="13" w:type="dxa"/>
              <w:left w:w="13" w:type="dxa"/>
              <w:bottom w:w="0" w:type="dxa"/>
              <w:right w:w="13" w:type="dxa"/>
            </w:tcMar>
            <w:vAlign w:val="center"/>
          </w:tcPr>
          <w:p>
            <w:pPr>
              <w:adjustRightInd w:val="0"/>
              <w:snapToGrid w:val="0"/>
              <w:jc w:val="center"/>
              <w:rPr>
                <w:szCs w:val="21"/>
              </w:rPr>
            </w:pPr>
            <w:r>
              <w:rPr>
                <w:szCs w:val="21"/>
              </w:rPr>
              <w:t>Transactions (lots)</w:t>
            </w:r>
          </w:p>
        </w:tc>
        <w:tc>
          <w:tcPr>
            <w:tcW w:w="4775" w:type="dxa"/>
            <w:tcBorders>
              <w:top w:val="single" w:color="339966" w:sz="6" w:space="0"/>
              <w:left w:val="single" w:color="339966" w:sz="4" w:space="0"/>
              <w:bottom w:val="single" w:color="339966" w:sz="4" w:space="0"/>
              <w:right w:val="single" w:color="339966" w:sz="4" w:space="0"/>
            </w:tcBorders>
            <w:shd w:val="clear" w:color="auto" w:fill="CCFFCC"/>
            <w:tcMar>
              <w:top w:w="13" w:type="dxa"/>
              <w:left w:w="13" w:type="dxa"/>
              <w:bottom w:w="0" w:type="dxa"/>
              <w:right w:w="13" w:type="dxa"/>
            </w:tcMar>
            <w:vAlign w:val="center"/>
          </w:tcPr>
          <w:p>
            <w:pPr>
              <w:adjustRightInd w:val="0"/>
              <w:snapToGrid w:val="0"/>
              <w:jc w:val="center"/>
              <w:rPr>
                <w:szCs w:val="21"/>
              </w:rPr>
            </w:pPr>
            <w:r>
              <w:rPr>
                <w:szCs w:val="21"/>
              </w:rPr>
              <w:t>Amount of the notional principal (RMB 100 million)</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1147" w:type="dxa"/>
            <w:tcBorders>
              <w:top w:val="single" w:color="339966" w:sz="4" w:space="0"/>
              <w:left w:val="nil"/>
              <w:bottom w:val="single" w:color="339966" w:sz="4" w:space="0"/>
              <w:right w:val="single" w:color="339966" w:sz="4" w:space="0"/>
            </w:tcBorders>
            <w:tcMar>
              <w:top w:w="13" w:type="dxa"/>
              <w:left w:w="13" w:type="dxa"/>
              <w:bottom w:w="0" w:type="dxa"/>
              <w:right w:w="13" w:type="dxa"/>
            </w:tcMar>
            <w:vAlign w:val="center"/>
          </w:tcPr>
          <w:p>
            <w:pPr>
              <w:adjustRightInd w:val="0"/>
              <w:snapToGrid w:val="0"/>
              <w:jc w:val="center"/>
              <w:rPr>
                <w:szCs w:val="21"/>
              </w:rPr>
            </w:pPr>
            <w:r>
              <w:rPr>
                <w:rFonts w:hint="eastAsia"/>
                <w:szCs w:val="21"/>
              </w:rPr>
              <w:t xml:space="preserve">Q1 </w:t>
            </w:r>
            <w:r>
              <w:rPr>
                <w:szCs w:val="21"/>
              </w:rPr>
              <w:t>201</w:t>
            </w:r>
            <w:r>
              <w:rPr>
                <w:rFonts w:hint="eastAsia"/>
                <w:szCs w:val="21"/>
              </w:rPr>
              <w:t>8</w:t>
            </w:r>
          </w:p>
        </w:tc>
        <w:tc>
          <w:tcPr>
            <w:tcW w:w="2410" w:type="dxa"/>
            <w:tcBorders>
              <w:top w:val="single" w:color="339966" w:sz="4" w:space="0"/>
              <w:left w:val="single" w:color="339966" w:sz="4" w:space="0"/>
              <w:bottom w:val="single" w:color="339966" w:sz="4" w:space="0"/>
              <w:right w:val="single" w:color="339966" w:sz="4" w:space="0"/>
            </w:tcBorders>
            <w:tcMar>
              <w:top w:w="13" w:type="dxa"/>
              <w:left w:w="13" w:type="dxa"/>
              <w:bottom w:w="0" w:type="dxa"/>
              <w:right w:w="13" w:type="dxa"/>
            </w:tcMar>
            <w:vAlign w:val="center"/>
          </w:tcPr>
          <w:p>
            <w:pPr>
              <w:adjustRightInd w:val="0"/>
              <w:snapToGrid w:val="0"/>
              <w:jc w:val="center"/>
              <w:rPr>
                <w:szCs w:val="21"/>
              </w:rPr>
            </w:pPr>
            <w:r>
              <w:rPr>
                <w:rFonts w:eastAsia="SimSun-Identity-H"/>
                <w:szCs w:val="21"/>
              </w:rPr>
              <w:t>42,464</w:t>
            </w:r>
          </w:p>
        </w:tc>
        <w:tc>
          <w:tcPr>
            <w:tcW w:w="4775" w:type="dxa"/>
            <w:tcBorders>
              <w:top w:val="single" w:color="339966" w:sz="4" w:space="0"/>
              <w:left w:val="single" w:color="339966" w:sz="4" w:space="0"/>
              <w:bottom w:val="single" w:color="339966" w:sz="4" w:space="0"/>
              <w:right w:val="single" w:color="339966" w:sz="4" w:space="0"/>
            </w:tcBorders>
            <w:tcMar>
              <w:top w:w="13" w:type="dxa"/>
              <w:left w:w="13" w:type="dxa"/>
              <w:bottom w:w="0" w:type="dxa"/>
              <w:right w:w="13" w:type="dxa"/>
            </w:tcMar>
            <w:vAlign w:val="center"/>
          </w:tcPr>
          <w:p>
            <w:pPr>
              <w:adjustRightInd w:val="0"/>
              <w:snapToGrid w:val="0"/>
              <w:jc w:val="center"/>
              <w:rPr>
                <w:szCs w:val="21"/>
              </w:rPr>
            </w:pPr>
            <w:r>
              <w:rPr>
                <w:rFonts w:eastAsia="SimSun-Identity-H"/>
                <w:szCs w:val="21"/>
              </w:rPr>
              <w:t>52,905.55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1147" w:type="dxa"/>
            <w:tcBorders>
              <w:top w:val="single" w:color="339966" w:sz="4" w:space="0"/>
              <w:left w:val="nil"/>
              <w:bottom w:val="single" w:color="339966" w:sz="12" w:space="0"/>
              <w:right w:val="single" w:color="339966" w:sz="4" w:space="0"/>
            </w:tcBorders>
            <w:shd w:val="clear" w:color="auto" w:fill="CCFFCC"/>
            <w:tcMar>
              <w:top w:w="13" w:type="dxa"/>
              <w:left w:w="13" w:type="dxa"/>
              <w:bottom w:w="0" w:type="dxa"/>
              <w:right w:w="13" w:type="dxa"/>
            </w:tcMar>
            <w:vAlign w:val="center"/>
          </w:tcPr>
          <w:p>
            <w:pPr>
              <w:adjustRightInd w:val="0"/>
              <w:snapToGrid w:val="0"/>
              <w:jc w:val="center"/>
              <w:rPr>
                <w:szCs w:val="21"/>
              </w:rPr>
            </w:pPr>
            <w:r>
              <w:rPr>
                <w:rFonts w:hint="eastAsia"/>
                <w:szCs w:val="21"/>
              </w:rPr>
              <w:t xml:space="preserve">Q1 </w:t>
            </w:r>
            <w:r>
              <w:rPr>
                <w:szCs w:val="21"/>
              </w:rPr>
              <w:t>201</w:t>
            </w:r>
            <w:r>
              <w:rPr>
                <w:rFonts w:hint="eastAsia"/>
                <w:szCs w:val="21"/>
              </w:rPr>
              <w:t>7</w:t>
            </w:r>
          </w:p>
        </w:tc>
        <w:tc>
          <w:tcPr>
            <w:tcW w:w="2410" w:type="dxa"/>
            <w:tcBorders>
              <w:top w:val="single" w:color="339966" w:sz="4" w:space="0"/>
              <w:left w:val="single" w:color="339966" w:sz="4" w:space="0"/>
              <w:bottom w:val="single" w:color="339966" w:sz="12" w:space="0"/>
              <w:right w:val="single" w:color="339966" w:sz="4" w:space="0"/>
            </w:tcBorders>
            <w:shd w:val="clear" w:color="auto" w:fill="CCFFCC"/>
            <w:tcMar>
              <w:top w:w="13" w:type="dxa"/>
              <w:left w:w="13" w:type="dxa"/>
              <w:bottom w:w="0" w:type="dxa"/>
              <w:right w:w="13" w:type="dxa"/>
            </w:tcMar>
            <w:vAlign w:val="center"/>
          </w:tcPr>
          <w:p>
            <w:pPr>
              <w:adjustRightInd w:val="0"/>
              <w:snapToGrid w:val="0"/>
              <w:jc w:val="center"/>
              <w:rPr>
                <w:szCs w:val="21"/>
              </w:rPr>
            </w:pPr>
            <w:r>
              <w:rPr>
                <w:szCs w:val="21"/>
              </w:rPr>
              <w:t>31</w:t>
            </w:r>
            <w:r>
              <w:rPr>
                <w:rFonts w:hint="eastAsia"/>
                <w:szCs w:val="21"/>
              </w:rPr>
              <w:t>,</w:t>
            </w:r>
            <w:r>
              <w:rPr>
                <w:szCs w:val="21"/>
              </w:rPr>
              <w:t>4</w:t>
            </w:r>
            <w:r>
              <w:rPr>
                <w:rFonts w:hint="eastAsia"/>
                <w:szCs w:val="21"/>
              </w:rPr>
              <w:t>43</w:t>
            </w:r>
          </w:p>
        </w:tc>
        <w:tc>
          <w:tcPr>
            <w:tcW w:w="4775" w:type="dxa"/>
            <w:tcBorders>
              <w:top w:val="single" w:color="339966" w:sz="4" w:space="0"/>
              <w:left w:val="single" w:color="339966" w:sz="4" w:space="0"/>
              <w:bottom w:val="single" w:color="339966" w:sz="12" w:space="0"/>
              <w:right w:val="single" w:color="339966" w:sz="4" w:space="0"/>
            </w:tcBorders>
            <w:shd w:val="clear" w:color="auto" w:fill="CCFFCC"/>
            <w:tcMar>
              <w:top w:w="13" w:type="dxa"/>
              <w:left w:w="13" w:type="dxa"/>
              <w:bottom w:w="0" w:type="dxa"/>
              <w:right w:w="13" w:type="dxa"/>
            </w:tcMar>
            <w:vAlign w:val="center"/>
          </w:tcPr>
          <w:p>
            <w:pPr>
              <w:adjustRightInd w:val="0"/>
              <w:snapToGrid w:val="0"/>
              <w:jc w:val="center"/>
              <w:rPr>
                <w:szCs w:val="21"/>
              </w:rPr>
            </w:pPr>
            <w:r>
              <w:rPr>
                <w:rFonts w:hint="eastAsia"/>
                <w:szCs w:val="21"/>
              </w:rPr>
              <w:t>2</w:t>
            </w:r>
            <w:r>
              <w:rPr>
                <w:szCs w:val="21"/>
              </w:rPr>
              <w:t>6</w:t>
            </w:r>
            <w:r>
              <w:rPr>
                <w:rFonts w:hint="eastAsia"/>
                <w:szCs w:val="21"/>
              </w:rPr>
              <w:t>,</w:t>
            </w:r>
            <w:r>
              <w:rPr>
                <w:szCs w:val="21"/>
              </w:rPr>
              <w:t>848.23</w:t>
            </w:r>
          </w:p>
        </w:tc>
      </w:tr>
    </w:tbl>
    <w:p>
      <w:pPr>
        <w:autoSpaceDE w:val="0"/>
        <w:autoSpaceDN w:val="0"/>
        <w:adjustRightInd w:val="0"/>
        <w:snapToGrid w:val="0"/>
        <w:rPr>
          <w:rFonts w:eastAsia="楷体_GB2312"/>
          <w:sz w:val="24"/>
        </w:rPr>
      </w:pPr>
      <w:r>
        <w:rPr>
          <w:rFonts w:eastAsia="楷体_GB2312"/>
          <w:sz w:val="24"/>
        </w:rPr>
        <w:t xml:space="preserve">Source: China Foreign Exchange Trade System. </w:t>
      </w:r>
    </w:p>
    <w:p>
      <w:pPr>
        <w:rPr>
          <w:sz w:val="24"/>
          <w:szCs w:val="21"/>
        </w:rPr>
      </w:pPr>
    </w:p>
    <w:p>
      <w:pPr>
        <w:pStyle w:val="26"/>
        <w:pBdr>
          <w:top w:val="none" w:color="auto" w:sz="0" w:space="0"/>
          <w:left w:val="none" w:color="auto" w:sz="0" w:space="0"/>
          <w:bottom w:val="none" w:color="auto" w:sz="0" w:space="0"/>
          <w:right w:val="none" w:color="auto" w:sz="0" w:space="0"/>
        </w:pBdr>
        <w:shd w:val="clear" w:color="auto" w:fill="CCFFCC"/>
        <w:spacing w:before="156" w:after="156"/>
        <w:rPr>
          <w:rFonts w:hint="default" w:ascii="Times New Roman"/>
          <w:b/>
          <w:bCs w:val="0"/>
          <w:sz w:val="24"/>
        </w:rPr>
      </w:pPr>
      <w:bookmarkStart w:id="99" w:name="_Toc517191135"/>
      <w:r>
        <w:rPr>
          <w:rFonts w:ascii="Times New Roman"/>
          <w:b/>
          <w:bCs w:val="0"/>
          <w:sz w:val="24"/>
        </w:rPr>
        <w:t xml:space="preserve">Box </w:t>
      </w:r>
      <w:r>
        <w:rPr>
          <w:rFonts w:hint="default" w:ascii="Times New Roman"/>
          <w:b/>
          <w:bCs w:val="0"/>
          <w:sz w:val="24"/>
        </w:rPr>
        <w:fldChar w:fldCharType="begin"/>
      </w:r>
      <w:r>
        <w:rPr>
          <w:rFonts w:hint="default" w:ascii="Times New Roman"/>
          <w:b/>
          <w:bCs w:val="0"/>
          <w:sz w:val="24"/>
        </w:rPr>
        <w:instrText xml:space="preserve"> </w:instrText>
      </w:r>
      <w:r>
        <w:rPr>
          <w:rFonts w:ascii="Times New Roman"/>
          <w:b/>
          <w:bCs w:val="0"/>
          <w:sz w:val="24"/>
        </w:rPr>
        <w:instrText xml:space="preserve">SEQ Box \* ARABIC</w:instrText>
      </w:r>
      <w:r>
        <w:rPr>
          <w:rFonts w:hint="default" w:ascii="Times New Roman"/>
          <w:b/>
          <w:bCs w:val="0"/>
          <w:sz w:val="24"/>
        </w:rPr>
        <w:instrText xml:space="preserve"> </w:instrText>
      </w:r>
      <w:r>
        <w:rPr>
          <w:rFonts w:hint="default" w:ascii="Times New Roman"/>
          <w:b/>
          <w:bCs w:val="0"/>
          <w:sz w:val="24"/>
        </w:rPr>
        <w:fldChar w:fldCharType="separate"/>
      </w:r>
      <w:r>
        <w:rPr>
          <w:rFonts w:hint="default" w:ascii="Times New Roman"/>
          <w:b/>
          <w:bCs w:val="0"/>
          <w:sz w:val="24"/>
        </w:rPr>
        <w:t>3</w:t>
      </w:r>
      <w:r>
        <w:rPr>
          <w:rFonts w:hint="default" w:ascii="Times New Roman"/>
          <w:b/>
          <w:bCs w:val="0"/>
          <w:sz w:val="24"/>
        </w:rPr>
        <w:fldChar w:fldCharType="end"/>
      </w:r>
      <w:r>
        <w:rPr>
          <w:rFonts w:ascii="Times New Roman"/>
          <w:b/>
          <w:bCs w:val="0"/>
          <w:sz w:val="24"/>
        </w:rPr>
        <w:t xml:space="preserve"> Central-Bank Interest-Rate Adjustments and Transmission</w:t>
      </w:r>
      <w:bookmarkEnd w:id="99"/>
    </w:p>
    <w:p>
      <w:pPr>
        <w:shd w:val="clear" w:color="auto" w:fill="CCFFCC"/>
        <w:rPr>
          <w:rFonts w:eastAsia="楷体_GB2312"/>
          <w:sz w:val="24"/>
        </w:rPr>
      </w:pPr>
      <w:r>
        <w:rPr>
          <w:sz w:val="24"/>
        </w:rPr>
        <w:t>The 13th Five</w:t>
      </w:r>
      <w:r>
        <w:rPr>
          <w:rFonts w:hint="eastAsia"/>
          <w:sz w:val="24"/>
        </w:rPr>
        <w:t>-</w:t>
      </w:r>
      <w:r>
        <w:rPr>
          <w:sz w:val="24"/>
        </w:rPr>
        <w:t xml:space="preserve">Year Plan </w:t>
      </w:r>
      <w:r>
        <w:rPr>
          <w:rFonts w:hint="eastAsia"/>
          <w:sz w:val="24"/>
        </w:rPr>
        <w:t>include</w:t>
      </w:r>
      <w:r>
        <w:rPr>
          <w:sz w:val="24"/>
        </w:rPr>
        <w:t>s</w:t>
      </w:r>
      <w:r>
        <w:rPr>
          <w:rFonts w:hint="eastAsia"/>
          <w:sz w:val="24"/>
        </w:rPr>
        <w:t xml:space="preserve"> a plan to build a </w:t>
      </w:r>
      <w:r>
        <w:rPr>
          <w:sz w:val="24"/>
        </w:rPr>
        <w:t xml:space="preserve">targeted interest rate and an interest-rate corridor mechanism, and </w:t>
      </w:r>
      <w:r>
        <w:rPr>
          <w:rFonts w:hint="eastAsia"/>
          <w:sz w:val="24"/>
        </w:rPr>
        <w:t xml:space="preserve">to </w:t>
      </w:r>
      <w:r>
        <w:rPr>
          <w:sz w:val="24"/>
        </w:rPr>
        <w:t>promot</w:t>
      </w:r>
      <w:r>
        <w:rPr>
          <w:rFonts w:hint="eastAsia"/>
          <w:sz w:val="24"/>
        </w:rPr>
        <w:t>e</w:t>
      </w:r>
      <w:r>
        <w:rPr>
          <w:sz w:val="24"/>
        </w:rPr>
        <w:t xml:space="preserve"> the shift from quantit</w:t>
      </w:r>
      <w:r>
        <w:rPr>
          <w:rFonts w:hint="eastAsia"/>
          <w:sz w:val="24"/>
        </w:rPr>
        <w:t>ative</w:t>
      </w:r>
      <w:r>
        <w:rPr>
          <w:sz w:val="24"/>
        </w:rPr>
        <w:t>- to price-</w:t>
      </w:r>
      <w:r>
        <w:rPr>
          <w:rFonts w:hint="eastAsia"/>
          <w:sz w:val="24"/>
        </w:rPr>
        <w:t>based</w:t>
      </w:r>
      <w:r>
        <w:rPr>
          <w:sz w:val="24"/>
        </w:rPr>
        <w:t xml:space="preserve"> </w:t>
      </w:r>
      <w:r>
        <w:rPr>
          <w:rFonts w:hint="eastAsia"/>
          <w:sz w:val="24"/>
        </w:rPr>
        <w:t>adjustment</w:t>
      </w:r>
      <w:r>
        <w:rPr>
          <w:sz w:val="24"/>
        </w:rPr>
        <w:t>s. The 19</w:t>
      </w:r>
      <w:r>
        <w:rPr>
          <w:sz w:val="24"/>
          <w:vertAlign w:val="superscript"/>
        </w:rPr>
        <w:t>th</w:t>
      </w:r>
      <w:r>
        <w:rPr>
          <w:sz w:val="24"/>
        </w:rPr>
        <w:t xml:space="preserve"> National Congress of the CPC stated that the market-based interest-rate and the exchange-rate regime reform should be deepened. In recent years, the market-based interest-rate reform has been steadily </w:t>
      </w:r>
      <w:r>
        <w:rPr>
          <w:rFonts w:hint="eastAsia"/>
          <w:sz w:val="24"/>
        </w:rPr>
        <w:t>furthered</w:t>
      </w:r>
      <w:r>
        <w:rPr>
          <w:sz w:val="24"/>
        </w:rPr>
        <w:t>,</w:t>
      </w:r>
      <w:r>
        <w:rPr>
          <w:rFonts w:hint="eastAsia"/>
          <w:sz w:val="24"/>
        </w:rPr>
        <w:t xml:space="preserve"> with</w:t>
      </w:r>
      <w:r>
        <w:rPr>
          <w:sz w:val="24"/>
        </w:rPr>
        <w:t xml:space="preserve"> the deposit and loan interest rates basically </w:t>
      </w:r>
      <w:r>
        <w:rPr>
          <w:rFonts w:hint="eastAsia"/>
          <w:sz w:val="24"/>
        </w:rPr>
        <w:t>liberalized. The</w:t>
      </w:r>
      <w:r>
        <w:rPr>
          <w:sz w:val="24"/>
        </w:rPr>
        <w:t xml:space="preserve"> benchmark interest-rate </w:t>
      </w:r>
      <w:r>
        <w:rPr>
          <w:rFonts w:hint="eastAsia"/>
          <w:sz w:val="24"/>
        </w:rPr>
        <w:t>system</w:t>
      </w:r>
      <w:r>
        <w:rPr>
          <w:sz w:val="24"/>
        </w:rPr>
        <w:t xml:space="preserve"> and the price-based </w:t>
      </w:r>
      <w:r>
        <w:rPr>
          <w:rFonts w:hint="eastAsia"/>
          <w:sz w:val="24"/>
        </w:rPr>
        <w:t>adjustment</w:t>
      </w:r>
      <w:r>
        <w:rPr>
          <w:sz w:val="24"/>
        </w:rPr>
        <w:t xml:space="preserve"> mechanism have been improved. </w:t>
      </w:r>
    </w:p>
    <w:p>
      <w:pPr>
        <w:shd w:val="clear" w:color="auto" w:fill="CCFFCC"/>
        <w:ind w:firstLine="482" w:firstLineChars="200"/>
        <w:rPr>
          <w:b/>
          <w:sz w:val="24"/>
        </w:rPr>
      </w:pPr>
    </w:p>
    <w:p>
      <w:pPr>
        <w:shd w:val="clear" w:color="auto" w:fill="CCFFCC"/>
        <w:rPr>
          <w:rFonts w:eastAsia="楷体_GB2312"/>
          <w:sz w:val="24"/>
        </w:rPr>
      </w:pPr>
      <w:r>
        <w:rPr>
          <w:b/>
          <w:sz w:val="24"/>
        </w:rPr>
        <w:t>The market-based interest-rate regime has made notable progress.</w:t>
      </w:r>
      <w:r>
        <w:rPr>
          <w:sz w:val="24"/>
        </w:rPr>
        <w:t xml:space="preserve"> First, efforts have been made to </w:t>
      </w:r>
      <w:r>
        <w:rPr>
          <w:rFonts w:hint="eastAsia"/>
          <w:sz w:val="24"/>
        </w:rPr>
        <w:t xml:space="preserve">establish an </w:t>
      </w:r>
      <w:r>
        <w:rPr>
          <w:sz w:val="24"/>
        </w:rPr>
        <w:t xml:space="preserve">interest-rate corridor mechanism and to </w:t>
      </w:r>
      <w:r>
        <w:rPr>
          <w:rFonts w:hint="eastAsia"/>
          <w:sz w:val="24"/>
        </w:rPr>
        <w:t>tap the</w:t>
      </w:r>
      <w:r>
        <w:rPr>
          <w:sz w:val="24"/>
        </w:rPr>
        <w:t xml:space="preserve"> SLF as the ceiling of the interest-rate corridor. Second, the benchmark interest-rate </w:t>
      </w:r>
      <w:r>
        <w:rPr>
          <w:rFonts w:hint="eastAsia"/>
          <w:sz w:val="24"/>
        </w:rPr>
        <w:t>system</w:t>
      </w:r>
      <w:r>
        <w:rPr>
          <w:sz w:val="24"/>
        </w:rPr>
        <w:t xml:space="preserve"> has been </w:t>
      </w:r>
      <w:r>
        <w:rPr>
          <w:rFonts w:hint="eastAsia"/>
          <w:sz w:val="24"/>
        </w:rPr>
        <w:t>improved.</w:t>
      </w:r>
      <w:r>
        <w:rPr>
          <w:sz w:val="24"/>
        </w:rPr>
        <w:t xml:space="preserve"> The </w:t>
      </w:r>
      <w:r>
        <w:rPr>
          <w:rFonts w:eastAsia="Times New Roman"/>
          <w:sz w:val="24"/>
        </w:rPr>
        <w:t>Shanghai Inter-bank Offered Rate (Shibor) and the government bond yield</w:t>
      </w:r>
      <w:r>
        <w:rPr>
          <w:sz w:val="24"/>
        </w:rPr>
        <w:t xml:space="preserve"> </w:t>
      </w:r>
      <w:r>
        <w:rPr>
          <w:rFonts w:hint="eastAsia"/>
          <w:sz w:val="24"/>
        </w:rPr>
        <w:t xml:space="preserve">have become important reference rates in the pricing of financial products, forming </w:t>
      </w:r>
      <w:r>
        <w:rPr>
          <w:rFonts w:eastAsia="Times New Roman"/>
          <w:sz w:val="24"/>
        </w:rPr>
        <w:t xml:space="preserve">a financial-market benchmark interest-rate system. Third, </w:t>
      </w:r>
      <w:r>
        <w:rPr>
          <w:rFonts w:hint="eastAsia" w:eastAsiaTheme="minorEastAsia"/>
          <w:sz w:val="24"/>
        </w:rPr>
        <w:t>the PBC has</w:t>
      </w:r>
      <w:r>
        <w:rPr>
          <w:rFonts w:eastAsiaTheme="minorEastAsia"/>
          <w:sz w:val="24"/>
        </w:rPr>
        <w:t xml:space="preserve"> increased its focus o</w:t>
      </w:r>
      <w:r>
        <w:rPr>
          <w:rFonts w:hint="eastAsia" w:eastAsiaTheme="minorEastAsia"/>
          <w:sz w:val="24"/>
        </w:rPr>
        <w:t>n</w:t>
      </w:r>
      <w:r>
        <w:rPr>
          <w:rFonts w:eastAsia="Times New Roman"/>
          <w:sz w:val="24"/>
        </w:rPr>
        <w:t xml:space="preserve"> price signals and their transmission in monetary-policy </w:t>
      </w:r>
      <w:r>
        <w:rPr>
          <w:rFonts w:hint="eastAsia" w:eastAsiaTheme="minorEastAsia"/>
          <w:sz w:val="24"/>
        </w:rPr>
        <w:t>cond</w:t>
      </w:r>
      <w:r>
        <w:rPr>
          <w:rFonts w:eastAsiaTheme="minorEastAsia"/>
          <w:sz w:val="24"/>
        </w:rPr>
        <w:t>uc</w:t>
      </w:r>
      <w:r>
        <w:rPr>
          <w:rFonts w:hint="eastAsia" w:eastAsiaTheme="minorEastAsia"/>
          <w:sz w:val="24"/>
        </w:rPr>
        <w:t xml:space="preserve">t and </w:t>
      </w:r>
      <w:r>
        <w:rPr>
          <w:rFonts w:eastAsiaTheme="minorEastAsia"/>
          <w:sz w:val="24"/>
        </w:rPr>
        <w:t xml:space="preserve">has </w:t>
      </w:r>
      <w:r>
        <w:rPr>
          <w:rFonts w:hint="eastAsia" w:eastAsiaTheme="minorEastAsia"/>
          <w:sz w:val="24"/>
        </w:rPr>
        <w:t xml:space="preserve">explored price-based </w:t>
      </w:r>
      <w:r>
        <w:rPr>
          <w:rFonts w:eastAsiaTheme="minorEastAsia"/>
          <w:sz w:val="24"/>
        </w:rPr>
        <w:t>adjustments</w:t>
      </w:r>
      <w:r>
        <w:rPr>
          <w:rFonts w:hint="eastAsia" w:eastAsiaTheme="minorEastAsia"/>
          <w:sz w:val="24"/>
        </w:rPr>
        <w:t xml:space="preserve"> </w:t>
      </w:r>
      <w:r>
        <w:rPr>
          <w:rFonts w:eastAsia="Times New Roman"/>
          <w:sz w:val="24"/>
        </w:rPr>
        <w:t xml:space="preserve">and expectation management. The PBC has established a regular mechanism of daily open-market operations and has </w:t>
      </w:r>
      <w:r>
        <w:rPr>
          <w:rFonts w:hint="eastAsia" w:eastAsiaTheme="minorEastAsia"/>
          <w:sz w:val="24"/>
        </w:rPr>
        <w:t xml:space="preserve">diversified the </w:t>
      </w:r>
      <w:r>
        <w:rPr>
          <w:rFonts w:eastAsiaTheme="minorEastAsia"/>
          <w:sz w:val="24"/>
        </w:rPr>
        <w:t xml:space="preserve">operational </w:t>
      </w:r>
      <w:r>
        <w:rPr>
          <w:rFonts w:hint="eastAsia" w:eastAsiaTheme="minorEastAsia"/>
          <w:sz w:val="24"/>
        </w:rPr>
        <w:t>products</w:t>
      </w:r>
      <w:r>
        <w:rPr>
          <w:rFonts w:eastAsia="Times New Roman"/>
          <w:sz w:val="24"/>
        </w:rPr>
        <w:t xml:space="preserve"> </w:t>
      </w:r>
      <w:r>
        <w:rPr>
          <w:rFonts w:hint="eastAsia" w:eastAsiaTheme="minorEastAsia"/>
          <w:sz w:val="24"/>
        </w:rPr>
        <w:t xml:space="preserve">to implement </w:t>
      </w:r>
      <w:r>
        <w:rPr>
          <w:rFonts w:eastAsia="Times New Roman"/>
          <w:sz w:val="24"/>
        </w:rPr>
        <w:t xml:space="preserve">more forward-looking and effective liquidity management, to release </w:t>
      </w:r>
      <w:r>
        <w:rPr>
          <w:rFonts w:hint="eastAsia" w:eastAsiaTheme="minorEastAsia"/>
          <w:sz w:val="24"/>
        </w:rPr>
        <w:t xml:space="preserve">consistent </w:t>
      </w:r>
      <w:r>
        <w:rPr>
          <w:rFonts w:eastAsia="Times New Roman"/>
          <w:sz w:val="24"/>
        </w:rPr>
        <w:t xml:space="preserve">policy signals, and to guide market expectations. Fourth, </w:t>
      </w:r>
      <w:r>
        <w:rPr>
          <w:sz w:val="24"/>
        </w:rPr>
        <w:t>financial institutions have</w:t>
      </w:r>
      <w:r>
        <w:rPr>
          <w:rFonts w:hint="eastAsia"/>
          <w:sz w:val="24"/>
        </w:rPr>
        <w:t xml:space="preserve"> built</w:t>
      </w:r>
      <w:r>
        <w:rPr>
          <w:rFonts w:eastAsia="Times New Roman"/>
          <w:sz w:val="24"/>
        </w:rPr>
        <w:t xml:space="preserve"> their i</w:t>
      </w:r>
      <w:r>
        <w:rPr>
          <w:sz w:val="24"/>
        </w:rPr>
        <w:t xml:space="preserve">nterest-rate pricing capability. In the past, </w:t>
      </w:r>
      <w:r>
        <w:rPr>
          <w:rFonts w:hint="eastAsia"/>
          <w:sz w:val="24"/>
        </w:rPr>
        <w:t xml:space="preserve">the </w:t>
      </w:r>
      <w:r>
        <w:rPr>
          <w:sz w:val="24"/>
        </w:rPr>
        <w:t xml:space="preserve">fund transfer price (FTP) </w:t>
      </w:r>
      <w:r>
        <w:rPr>
          <w:rFonts w:hint="eastAsia"/>
          <w:sz w:val="24"/>
        </w:rPr>
        <w:t xml:space="preserve">within a </w:t>
      </w:r>
      <w:r>
        <w:rPr>
          <w:sz w:val="24"/>
        </w:rPr>
        <w:t>commercial bank</w:t>
      </w:r>
      <w:r>
        <w:rPr>
          <w:rFonts w:hint="eastAsia"/>
          <w:sz w:val="24"/>
        </w:rPr>
        <w:t xml:space="preserve"> </w:t>
      </w:r>
      <w:r>
        <w:rPr>
          <w:sz w:val="24"/>
        </w:rPr>
        <w:t xml:space="preserve">was mainly based on the benchmark loan interest rates </w:t>
      </w:r>
      <w:r>
        <w:rPr>
          <w:rFonts w:hint="eastAsia"/>
          <w:sz w:val="24"/>
        </w:rPr>
        <w:t>released</w:t>
      </w:r>
      <w:r>
        <w:rPr>
          <w:sz w:val="24"/>
        </w:rPr>
        <w:t xml:space="preserve"> by the PBC, and</w:t>
      </w:r>
      <w:r>
        <w:rPr>
          <w:rFonts w:hint="eastAsia"/>
          <w:sz w:val="24"/>
        </w:rPr>
        <w:t xml:space="preserve"> the</w:t>
      </w:r>
      <w:r>
        <w:rPr>
          <w:sz w:val="24"/>
        </w:rPr>
        <w:t xml:space="preserve"> FTP of financial-market businesses was based on money- and bond-market interest rates. With advances in the market-based interest-rate reforms and more diversified and market-based bank liabilities, commercial banks </w:t>
      </w:r>
      <w:r>
        <w:rPr>
          <w:rFonts w:hint="eastAsia"/>
          <w:sz w:val="24"/>
        </w:rPr>
        <w:t xml:space="preserve">are improving their </w:t>
      </w:r>
      <w:r>
        <w:rPr>
          <w:sz w:val="24"/>
        </w:rPr>
        <w:t>unified internal</w:t>
      </w:r>
      <w:r>
        <w:rPr>
          <w:rFonts w:hint="eastAsia"/>
          <w:sz w:val="24"/>
        </w:rPr>
        <w:t xml:space="preserve"> </w:t>
      </w:r>
      <w:r>
        <w:rPr>
          <w:sz w:val="24"/>
        </w:rPr>
        <w:t>FTP curve</w:t>
      </w:r>
      <w:r>
        <w:rPr>
          <w:rFonts w:hint="eastAsia"/>
          <w:sz w:val="24"/>
        </w:rPr>
        <w:t>s</w:t>
      </w:r>
      <w:r>
        <w:rPr>
          <w:sz w:val="24"/>
        </w:rPr>
        <w:t xml:space="preserve"> and </w:t>
      </w:r>
      <w:r>
        <w:rPr>
          <w:rFonts w:hint="eastAsia"/>
          <w:sz w:val="24"/>
        </w:rPr>
        <w:t xml:space="preserve">offering </w:t>
      </w:r>
      <w:r>
        <w:rPr>
          <w:sz w:val="24"/>
        </w:rPr>
        <w:t xml:space="preserve">deposit and loan interest rates </w:t>
      </w:r>
      <w:r>
        <w:rPr>
          <w:rFonts w:hint="eastAsia"/>
          <w:sz w:val="24"/>
        </w:rPr>
        <w:t xml:space="preserve">that are more sensitive </w:t>
      </w:r>
      <w:r>
        <w:rPr>
          <w:sz w:val="24"/>
        </w:rPr>
        <w:t>to market interest-rate</w:t>
      </w:r>
      <w:r>
        <w:rPr>
          <w:rFonts w:hint="eastAsia"/>
          <w:sz w:val="24"/>
        </w:rPr>
        <w:t xml:space="preserve"> movements</w:t>
      </w:r>
      <w:r>
        <w:rPr>
          <w:sz w:val="24"/>
        </w:rPr>
        <w:t xml:space="preserve">.  </w:t>
      </w:r>
    </w:p>
    <w:p>
      <w:pPr>
        <w:shd w:val="clear" w:color="auto" w:fill="CCFFCC"/>
        <w:ind w:firstLine="480" w:firstLineChars="200"/>
        <w:rPr>
          <w:sz w:val="24"/>
        </w:rPr>
      </w:pPr>
    </w:p>
    <w:p>
      <w:pPr>
        <w:shd w:val="clear" w:color="auto" w:fill="CCFFCC"/>
        <w:rPr>
          <w:sz w:val="24"/>
          <w:szCs w:val="21"/>
        </w:rPr>
      </w:pPr>
      <w:r>
        <w:rPr>
          <w:b/>
          <w:sz w:val="24"/>
          <w:szCs w:val="21"/>
        </w:rPr>
        <w:t xml:space="preserve">The transmission of interest rates </w:t>
      </w:r>
      <w:r>
        <w:rPr>
          <w:rFonts w:hint="eastAsia"/>
          <w:b/>
          <w:sz w:val="24"/>
          <w:szCs w:val="21"/>
        </w:rPr>
        <w:t xml:space="preserve">has been more </w:t>
      </w:r>
      <w:r>
        <w:rPr>
          <w:b/>
          <w:sz w:val="24"/>
          <w:szCs w:val="21"/>
        </w:rPr>
        <w:t>efficien</w:t>
      </w:r>
      <w:r>
        <w:rPr>
          <w:rFonts w:hint="eastAsia"/>
          <w:b/>
          <w:sz w:val="24"/>
          <w:szCs w:val="21"/>
        </w:rPr>
        <w:t>t</w:t>
      </w:r>
      <w:r>
        <w:rPr>
          <w:b/>
          <w:sz w:val="24"/>
          <w:szCs w:val="21"/>
        </w:rPr>
        <w:t>.</w:t>
      </w:r>
      <w:r>
        <w:rPr>
          <w:sz w:val="24"/>
          <w:szCs w:val="21"/>
        </w:rPr>
        <w:t xml:space="preserve"> Since the latter half of 2016, the transmission of the short-term money-market rate to the bond and loan interest rate</w:t>
      </w:r>
      <w:r>
        <w:rPr>
          <w:sz w:val="24"/>
        </w:rPr>
        <w:t>s</w:t>
      </w:r>
      <w:r>
        <w:rPr>
          <w:sz w:val="24"/>
          <w:szCs w:val="21"/>
        </w:rPr>
        <w:t xml:space="preserve"> have </w:t>
      </w:r>
      <w:r>
        <w:rPr>
          <w:rFonts w:hint="eastAsia"/>
          <w:sz w:val="24"/>
          <w:szCs w:val="21"/>
        </w:rPr>
        <w:t>outperformed</w:t>
      </w:r>
      <w:r>
        <w:rPr>
          <w:sz w:val="24"/>
          <w:szCs w:val="21"/>
        </w:rPr>
        <w:t xml:space="preserve"> expect</w:t>
      </w:r>
      <w:r>
        <w:rPr>
          <w:rFonts w:hint="eastAsia"/>
          <w:sz w:val="24"/>
          <w:szCs w:val="21"/>
        </w:rPr>
        <w:t>ations</w:t>
      </w:r>
      <w:r>
        <w:rPr>
          <w:sz w:val="24"/>
          <w:szCs w:val="21"/>
        </w:rPr>
        <w:t>, and market participants have become more sensitive to interest-rate</w:t>
      </w:r>
      <w:r>
        <w:rPr>
          <w:rFonts w:hint="eastAsia"/>
          <w:sz w:val="24"/>
          <w:szCs w:val="21"/>
        </w:rPr>
        <w:t xml:space="preserve"> movement</w:t>
      </w:r>
      <w:r>
        <w:rPr>
          <w:sz w:val="24"/>
          <w:szCs w:val="21"/>
        </w:rPr>
        <w:t>s. Since August 2016, money-market interest rate</w:t>
      </w:r>
      <w:r>
        <w:rPr>
          <w:rFonts w:hint="eastAsia"/>
          <w:sz w:val="24"/>
          <w:szCs w:val="21"/>
        </w:rPr>
        <w:t>s</w:t>
      </w:r>
      <w:r>
        <w:rPr>
          <w:sz w:val="24"/>
          <w:szCs w:val="21"/>
        </w:rPr>
        <w:t xml:space="preserve"> rose about 50 to 60 basis points</w:t>
      </w:r>
      <w:r>
        <w:rPr>
          <w:rFonts w:hint="eastAsia"/>
          <w:sz w:val="24"/>
          <w:szCs w:val="21"/>
        </w:rPr>
        <w:t>, consistent with</w:t>
      </w:r>
      <w:r>
        <w:rPr>
          <w:sz w:val="24"/>
          <w:szCs w:val="21"/>
        </w:rPr>
        <w:t xml:space="preserve"> macro-economic trends and changes in market supply and demand</w:t>
      </w:r>
      <w:r>
        <w:rPr>
          <w:rFonts w:hint="eastAsia"/>
          <w:sz w:val="24"/>
          <w:szCs w:val="21"/>
        </w:rPr>
        <w:t>;</w:t>
      </w:r>
      <w:r>
        <w:rPr>
          <w:sz w:val="24"/>
          <w:szCs w:val="21"/>
        </w:rPr>
        <w:t xml:space="preserve"> </w:t>
      </w:r>
      <w:r>
        <w:rPr>
          <w:rFonts w:hint="eastAsia"/>
          <w:sz w:val="24"/>
          <w:szCs w:val="21"/>
        </w:rPr>
        <w:t>subsequently,</w:t>
      </w:r>
      <w:r>
        <w:rPr>
          <w:sz w:val="24"/>
          <w:szCs w:val="21"/>
        </w:rPr>
        <w:t xml:space="preserve"> the </w:t>
      </w:r>
      <w:r>
        <w:rPr>
          <w:rFonts w:hint="eastAsia"/>
          <w:sz w:val="24"/>
          <w:szCs w:val="21"/>
        </w:rPr>
        <w:t>interest rates</w:t>
      </w:r>
      <w:r>
        <w:rPr>
          <w:sz w:val="24"/>
          <w:szCs w:val="21"/>
        </w:rPr>
        <w:t xml:space="preserve"> of loans and bonds </w:t>
      </w:r>
      <w:r>
        <w:rPr>
          <w:rFonts w:hint="eastAsia"/>
          <w:sz w:val="24"/>
          <w:szCs w:val="21"/>
        </w:rPr>
        <w:t>rallied</w:t>
      </w:r>
      <w:r>
        <w:rPr>
          <w:sz w:val="24"/>
          <w:szCs w:val="21"/>
        </w:rPr>
        <w:t>,</w:t>
      </w:r>
      <w:r>
        <w:rPr>
          <w:rFonts w:hint="eastAsia"/>
          <w:sz w:val="24"/>
          <w:szCs w:val="21"/>
        </w:rPr>
        <w:t xml:space="preserve"> </w:t>
      </w:r>
      <w:r>
        <w:rPr>
          <w:sz w:val="24"/>
          <w:szCs w:val="21"/>
        </w:rPr>
        <w:t>with bond yield</w:t>
      </w:r>
      <w:r>
        <w:rPr>
          <w:rFonts w:hint="eastAsia"/>
          <w:sz w:val="24"/>
          <w:szCs w:val="21"/>
        </w:rPr>
        <w:t>s</w:t>
      </w:r>
      <w:r>
        <w:rPr>
          <w:sz w:val="24"/>
          <w:szCs w:val="21"/>
        </w:rPr>
        <w:t xml:space="preserve"> </w:t>
      </w:r>
      <w:r>
        <w:rPr>
          <w:rFonts w:hint="eastAsia"/>
          <w:sz w:val="24"/>
          <w:szCs w:val="21"/>
        </w:rPr>
        <w:t xml:space="preserve">up </w:t>
      </w:r>
      <w:r>
        <w:rPr>
          <w:sz w:val="24"/>
          <w:szCs w:val="21"/>
        </w:rPr>
        <w:t xml:space="preserve">100 to </w:t>
      </w:r>
      <w:r>
        <w:rPr>
          <w:sz w:val="24"/>
        </w:rPr>
        <w:t>150 basis points and th</w:t>
      </w:r>
      <w:r>
        <w:rPr>
          <w:sz w:val="24"/>
          <w:szCs w:val="21"/>
        </w:rPr>
        <w:t xml:space="preserve">e weighted average </w:t>
      </w:r>
      <w:r>
        <w:rPr>
          <w:sz w:val="24"/>
        </w:rPr>
        <w:t>loan</w:t>
      </w:r>
      <w:r>
        <w:rPr>
          <w:rFonts w:hint="eastAsia"/>
          <w:sz w:val="24"/>
        </w:rPr>
        <w:t xml:space="preserve"> </w:t>
      </w:r>
      <w:r>
        <w:rPr>
          <w:sz w:val="24"/>
        </w:rPr>
        <w:t xml:space="preserve">interest rate </w:t>
      </w:r>
      <w:r>
        <w:rPr>
          <w:rFonts w:hint="eastAsia"/>
          <w:sz w:val="24"/>
        </w:rPr>
        <w:t>up</w:t>
      </w:r>
      <w:r>
        <w:rPr>
          <w:sz w:val="24"/>
        </w:rPr>
        <w:t xml:space="preserve"> </w:t>
      </w:r>
      <w:r>
        <w:rPr>
          <w:sz w:val="24"/>
          <w:szCs w:val="21"/>
        </w:rPr>
        <w:t>50 to 60 basis points. This has established a better foundation for further</w:t>
      </w:r>
      <w:r>
        <w:rPr>
          <w:rFonts w:hint="eastAsia"/>
          <w:sz w:val="24"/>
          <w:szCs w:val="21"/>
        </w:rPr>
        <w:t>ing</w:t>
      </w:r>
      <w:r>
        <w:rPr>
          <w:sz w:val="24"/>
          <w:szCs w:val="21"/>
        </w:rPr>
        <w:t xml:space="preserve"> the market-based interest-rate</w:t>
      </w:r>
      <w:r>
        <w:rPr>
          <w:rFonts w:hint="eastAsia"/>
          <w:sz w:val="24"/>
          <w:szCs w:val="21"/>
        </w:rPr>
        <w:t xml:space="preserve"> reform</w:t>
      </w:r>
      <w:r>
        <w:rPr>
          <w:sz w:val="24"/>
          <w:szCs w:val="21"/>
        </w:rPr>
        <w:t xml:space="preserve">. </w:t>
      </w:r>
    </w:p>
    <w:p>
      <w:pPr>
        <w:shd w:val="clear" w:color="auto" w:fill="CCFFCC"/>
        <w:ind w:firstLine="480" w:firstLineChars="200"/>
        <w:rPr>
          <w:sz w:val="24"/>
          <w:szCs w:val="21"/>
        </w:rPr>
      </w:pPr>
    </w:p>
    <w:p>
      <w:pPr>
        <w:shd w:val="clear" w:color="auto" w:fill="CCFFCC"/>
        <w:rPr>
          <w:sz w:val="24"/>
          <w:szCs w:val="21"/>
        </w:rPr>
      </w:pPr>
      <w:r>
        <w:rPr>
          <w:rFonts w:hint="eastAsia"/>
          <w:b/>
          <w:sz w:val="24"/>
          <w:szCs w:val="21"/>
        </w:rPr>
        <w:t xml:space="preserve">Nevertheless, </w:t>
      </w:r>
      <w:r>
        <w:rPr>
          <w:b/>
          <w:sz w:val="24"/>
        </w:rPr>
        <w:t xml:space="preserve">the market-based interest-rate reform </w:t>
      </w:r>
      <w:r>
        <w:rPr>
          <w:rFonts w:hint="eastAsia"/>
          <w:b/>
          <w:sz w:val="24"/>
        </w:rPr>
        <w:t>ha</w:t>
      </w:r>
      <w:r>
        <w:rPr>
          <w:b/>
          <w:sz w:val="24"/>
        </w:rPr>
        <w:t>s</w:t>
      </w:r>
      <w:r>
        <w:rPr>
          <w:rFonts w:hint="eastAsia"/>
          <w:b/>
          <w:sz w:val="24"/>
        </w:rPr>
        <w:t xml:space="preserve"> some</w:t>
      </w:r>
      <w:r>
        <w:rPr>
          <w:b/>
          <w:sz w:val="24"/>
        </w:rPr>
        <w:t xml:space="preserve"> “hard nuts to crack.” </w:t>
      </w:r>
      <w:r>
        <w:rPr>
          <w:rFonts w:hint="eastAsia"/>
          <w:sz w:val="24"/>
        </w:rPr>
        <w:t>T</w:t>
      </w:r>
      <w:r>
        <w:rPr>
          <w:sz w:val="24"/>
        </w:rPr>
        <w:t>he dual track of the benchmark and market-based interest rates, and the phenomenon of deposit “transfers”</w:t>
      </w:r>
      <w:r>
        <w:rPr>
          <w:rFonts w:hint="eastAsia"/>
          <w:sz w:val="24"/>
        </w:rPr>
        <w:t xml:space="preserve"> have,</w:t>
      </w:r>
      <w:r>
        <w:rPr>
          <w:sz w:val="24"/>
        </w:rPr>
        <w:t xml:space="preserve"> to some extent</w:t>
      </w:r>
      <w:r>
        <w:rPr>
          <w:rFonts w:hint="eastAsia"/>
          <w:sz w:val="24"/>
        </w:rPr>
        <w:t xml:space="preserve">, shortened the maturity of </w:t>
      </w:r>
      <w:r>
        <w:rPr>
          <w:sz w:val="24"/>
        </w:rPr>
        <w:t>bank liabilit</w:t>
      </w:r>
      <w:r>
        <w:rPr>
          <w:rFonts w:hint="eastAsia"/>
          <w:sz w:val="24"/>
        </w:rPr>
        <w:t>ies, increased the share of inter</w:t>
      </w:r>
      <w:r>
        <w:rPr>
          <w:sz w:val="24"/>
        </w:rPr>
        <w:t>-</w:t>
      </w:r>
      <w:r>
        <w:rPr>
          <w:rFonts w:hint="eastAsia"/>
          <w:sz w:val="24"/>
        </w:rPr>
        <w:t xml:space="preserve">bank </w:t>
      </w:r>
      <w:r>
        <w:rPr>
          <w:sz w:val="24"/>
        </w:rPr>
        <w:t xml:space="preserve">liability </w:t>
      </w:r>
      <w:r>
        <w:rPr>
          <w:rFonts w:hint="eastAsia"/>
          <w:sz w:val="24"/>
        </w:rPr>
        <w:t>lending</w:t>
      </w:r>
      <w:r>
        <w:rPr>
          <w:sz w:val="24"/>
        </w:rPr>
        <w:t>,</w:t>
      </w:r>
      <w:r>
        <w:rPr>
          <w:rFonts w:hint="eastAsia"/>
          <w:sz w:val="24"/>
        </w:rPr>
        <w:t xml:space="preserve"> </w:t>
      </w:r>
      <w:r>
        <w:rPr>
          <w:sz w:val="24"/>
        </w:rPr>
        <w:t xml:space="preserve">reduced fund stability, and </w:t>
      </w:r>
      <w:r>
        <w:rPr>
          <w:rFonts w:hint="eastAsia"/>
          <w:sz w:val="24"/>
        </w:rPr>
        <w:t>pushed up funding</w:t>
      </w:r>
      <w:r>
        <w:rPr>
          <w:sz w:val="24"/>
        </w:rPr>
        <w:t xml:space="preserve"> costs. In the future, further </w:t>
      </w:r>
      <w:r>
        <w:rPr>
          <w:rFonts w:hint="eastAsia"/>
          <w:sz w:val="24"/>
        </w:rPr>
        <w:t xml:space="preserve">progress is needed </w:t>
      </w:r>
      <w:r>
        <w:rPr>
          <w:sz w:val="24"/>
        </w:rPr>
        <w:t>to improve the market-based benchmark interest-rate</w:t>
      </w:r>
      <w:r>
        <w:rPr>
          <w:rFonts w:hint="eastAsia"/>
          <w:sz w:val="24"/>
        </w:rPr>
        <w:t xml:space="preserve"> system</w:t>
      </w:r>
      <w:r>
        <w:rPr>
          <w:sz w:val="24"/>
        </w:rPr>
        <w:t xml:space="preserve">, </w:t>
      </w:r>
      <w:r>
        <w:rPr>
          <w:rFonts w:hint="eastAsia"/>
          <w:sz w:val="24"/>
        </w:rPr>
        <w:t xml:space="preserve">the </w:t>
      </w:r>
      <w:r>
        <w:rPr>
          <w:sz w:val="24"/>
        </w:rPr>
        <w:t xml:space="preserve">interest-rate </w:t>
      </w:r>
      <w:r>
        <w:rPr>
          <w:rFonts w:hint="eastAsia"/>
          <w:sz w:val="24"/>
        </w:rPr>
        <w:t xml:space="preserve">adjustment </w:t>
      </w:r>
      <w:r>
        <w:rPr>
          <w:sz w:val="24"/>
        </w:rPr>
        <w:t xml:space="preserve">system, and the pricing capability </w:t>
      </w:r>
      <w:r>
        <w:rPr>
          <w:rFonts w:hint="eastAsia"/>
          <w:sz w:val="24"/>
        </w:rPr>
        <w:t xml:space="preserve">of </w:t>
      </w:r>
      <w:r>
        <w:rPr>
          <w:sz w:val="24"/>
        </w:rPr>
        <w:t xml:space="preserve">financial institutions. </w:t>
      </w:r>
    </w:p>
    <w:p>
      <w:pPr>
        <w:shd w:val="clear" w:color="auto" w:fill="CCFFCC"/>
        <w:ind w:firstLine="480" w:firstLineChars="200"/>
        <w:rPr>
          <w:sz w:val="24"/>
        </w:rPr>
      </w:pPr>
    </w:p>
    <w:p>
      <w:pPr>
        <w:shd w:val="clear" w:color="auto" w:fill="CCFFCC"/>
        <w:rPr>
          <w:rFonts w:eastAsia="楷体_GB2312"/>
          <w:sz w:val="24"/>
        </w:rPr>
      </w:pPr>
      <w:r>
        <w:rPr>
          <w:rFonts w:hint="eastAsia" w:eastAsia="楷体_GB2312"/>
          <w:b/>
          <w:sz w:val="24"/>
        </w:rPr>
        <w:t>T</w:t>
      </w:r>
      <w:r>
        <w:rPr>
          <w:rFonts w:eastAsia="楷体_GB2312"/>
          <w:b/>
          <w:sz w:val="24"/>
        </w:rPr>
        <w:t>he market-based interest-rate reform</w:t>
      </w:r>
      <w:r>
        <w:rPr>
          <w:b/>
          <w:sz w:val="24"/>
          <w:szCs w:val="21"/>
        </w:rPr>
        <w:t xml:space="preserve"> </w:t>
      </w:r>
      <w:r>
        <w:rPr>
          <w:rFonts w:hint="eastAsia"/>
          <w:b/>
          <w:sz w:val="24"/>
          <w:szCs w:val="21"/>
        </w:rPr>
        <w:t>will continue.</w:t>
      </w:r>
      <w:r>
        <w:rPr>
          <w:b/>
          <w:sz w:val="24"/>
          <w:szCs w:val="21"/>
        </w:rPr>
        <w:t xml:space="preserve"> </w:t>
      </w:r>
      <w:r>
        <w:rPr>
          <w:rFonts w:eastAsia="楷体_GB2312"/>
          <w:sz w:val="24"/>
        </w:rPr>
        <w:t xml:space="preserve"> The PBC will promote a convergence of the “dual track” into </w:t>
      </w:r>
      <w:r>
        <w:rPr>
          <w:rFonts w:hint="eastAsia" w:eastAsia="楷体_GB2312"/>
          <w:sz w:val="24"/>
        </w:rPr>
        <w:t>a more market</w:t>
      </w:r>
      <w:r>
        <w:rPr>
          <w:rFonts w:eastAsia="楷体_GB2312"/>
          <w:sz w:val="24"/>
        </w:rPr>
        <w:t>-</w:t>
      </w:r>
      <w:r>
        <w:rPr>
          <w:rFonts w:hint="eastAsia" w:eastAsia="楷体_GB2312"/>
          <w:sz w:val="24"/>
        </w:rPr>
        <w:t xml:space="preserve">based </w:t>
      </w:r>
      <w:r>
        <w:rPr>
          <w:rFonts w:eastAsia="楷体_GB2312"/>
          <w:sz w:val="24"/>
        </w:rPr>
        <w:t>“one track” interest-rate</w:t>
      </w:r>
      <w:r>
        <w:rPr>
          <w:rFonts w:hint="eastAsia" w:eastAsia="楷体_GB2312"/>
          <w:sz w:val="24"/>
        </w:rPr>
        <w:t xml:space="preserve"> system</w:t>
      </w:r>
      <w:r>
        <w:rPr>
          <w:rFonts w:eastAsia="楷体_GB2312"/>
          <w:sz w:val="24"/>
        </w:rPr>
        <w:t xml:space="preserve">. Efforts will be made to improve the banks’ FTP mechanism. </w:t>
      </w:r>
      <w:r>
        <w:rPr>
          <w:rFonts w:hint="eastAsia" w:eastAsia="楷体_GB2312"/>
          <w:sz w:val="24"/>
        </w:rPr>
        <w:t>Based on</w:t>
      </w:r>
      <w:r>
        <w:rPr>
          <w:rFonts w:eastAsia="楷体_GB2312"/>
          <w:sz w:val="24"/>
        </w:rPr>
        <w:t xml:space="preserve"> the experience and lessons of the benchmark interest-rate reform</w:t>
      </w:r>
      <w:r>
        <w:rPr>
          <w:rFonts w:hint="eastAsia" w:eastAsia="楷体_GB2312"/>
          <w:sz w:val="24"/>
        </w:rPr>
        <w:t xml:space="preserve"> in other countries</w:t>
      </w:r>
      <w:r>
        <w:rPr>
          <w:rFonts w:eastAsia="楷体_GB2312"/>
          <w:sz w:val="24"/>
        </w:rPr>
        <w:t xml:space="preserve">, the PBC will further improve the benchmark interest-rate </w:t>
      </w:r>
      <w:r>
        <w:rPr>
          <w:rFonts w:hint="eastAsia" w:eastAsia="楷体_GB2312"/>
          <w:sz w:val="24"/>
        </w:rPr>
        <w:t>system</w:t>
      </w:r>
      <w:r>
        <w:rPr>
          <w:rFonts w:eastAsia="楷体_GB2312"/>
          <w:sz w:val="24"/>
        </w:rPr>
        <w:t>, such as the Shibor and the market-based interest-rate</w:t>
      </w:r>
      <w:r>
        <w:rPr>
          <w:rFonts w:hint="eastAsia" w:eastAsia="楷体_GB2312"/>
          <w:sz w:val="24"/>
        </w:rPr>
        <w:t xml:space="preserve"> adjustment</w:t>
      </w:r>
      <w:r>
        <w:rPr>
          <w:rFonts w:eastAsia="楷体_GB2312"/>
          <w:sz w:val="24"/>
        </w:rPr>
        <w:t xml:space="preserve"> and transmission mechanism. Meanwhile, it will strengthen </w:t>
      </w:r>
      <w:r>
        <w:rPr>
          <w:rFonts w:hint="eastAsia" w:eastAsia="楷体_GB2312"/>
          <w:sz w:val="24"/>
        </w:rPr>
        <w:t>regulation of</w:t>
      </w:r>
      <w:r>
        <w:rPr>
          <w:rFonts w:eastAsia="楷体_GB2312"/>
          <w:sz w:val="24"/>
        </w:rPr>
        <w:t xml:space="preserve"> wealth-management products and other types of shadow- banking</w:t>
      </w:r>
      <w:r>
        <w:rPr>
          <w:rFonts w:hint="eastAsia" w:eastAsia="楷体_GB2312"/>
          <w:sz w:val="24"/>
        </w:rPr>
        <w:t xml:space="preserve"> activities.</w:t>
      </w:r>
      <w:r>
        <w:rPr>
          <w:rFonts w:eastAsia="楷体_GB2312"/>
          <w:sz w:val="24"/>
        </w:rPr>
        <w:t xml:space="preserve"> </w:t>
      </w:r>
      <w:r>
        <w:rPr>
          <w:rFonts w:hint="eastAsia" w:eastAsia="楷体_GB2312"/>
          <w:sz w:val="24"/>
        </w:rPr>
        <w:t>In</w:t>
      </w:r>
      <w:r>
        <w:rPr>
          <w:rFonts w:eastAsia="楷体_GB2312"/>
          <w:sz w:val="24"/>
        </w:rPr>
        <w:t xml:space="preserve"> terms of the principle of “substance over form</w:t>
      </w:r>
      <w:r>
        <w:rPr>
          <w:rFonts w:hint="eastAsia" w:eastAsia="楷体_GB2312"/>
          <w:sz w:val="24"/>
        </w:rPr>
        <w:t>ality</w:t>
      </w:r>
      <w:r>
        <w:rPr>
          <w:rFonts w:eastAsia="楷体_GB2312"/>
          <w:sz w:val="24"/>
        </w:rPr>
        <w:t xml:space="preserve">,” the PBC will unify regulatory standards, </w:t>
      </w:r>
      <w:r>
        <w:rPr>
          <w:rFonts w:hint="eastAsia" w:eastAsia="楷体_GB2312"/>
          <w:sz w:val="24"/>
        </w:rPr>
        <w:t>str</w:t>
      </w:r>
      <w:r>
        <w:rPr>
          <w:rFonts w:eastAsia="楷体_GB2312"/>
          <w:sz w:val="24"/>
        </w:rPr>
        <w:t xml:space="preserve">engthen prudential </w:t>
      </w:r>
      <w:r>
        <w:rPr>
          <w:rFonts w:hint="eastAsia" w:eastAsia="楷体_GB2312"/>
          <w:sz w:val="24"/>
        </w:rPr>
        <w:t>requirements</w:t>
      </w:r>
      <w:r>
        <w:rPr>
          <w:rFonts w:eastAsia="楷体_GB2312"/>
          <w:sz w:val="24"/>
        </w:rPr>
        <w:t xml:space="preserve"> on capital, liquidity, and other factors, and eliminate pricing distortions. </w:t>
      </w:r>
    </w:p>
    <w:p>
      <w:pPr>
        <w:rPr>
          <w:sz w:val="24"/>
        </w:rPr>
      </w:pPr>
    </w:p>
    <w:p>
      <w:pPr>
        <w:rPr>
          <w:b/>
          <w:sz w:val="24"/>
        </w:rPr>
      </w:pPr>
      <w:r>
        <w:rPr>
          <w:b/>
          <w:sz w:val="24"/>
        </w:rPr>
        <w:t>2. B</w:t>
      </w:r>
      <w:r>
        <w:rPr>
          <w:rFonts w:hint="eastAsia"/>
          <w:b/>
          <w:sz w:val="24"/>
        </w:rPr>
        <w:t>ond yield</w:t>
      </w:r>
      <w:r>
        <w:rPr>
          <w:b/>
          <w:sz w:val="24"/>
        </w:rPr>
        <w:t>s and issuance rates generally declined</w:t>
      </w:r>
      <w:r>
        <w:rPr>
          <w:rFonts w:hint="eastAsia"/>
          <w:b/>
          <w:sz w:val="24"/>
        </w:rPr>
        <w:t>, wh</w:t>
      </w:r>
      <w:r>
        <w:rPr>
          <w:b/>
          <w:sz w:val="24"/>
        </w:rPr>
        <w:t xml:space="preserve">ereas </w:t>
      </w:r>
      <w:r>
        <w:rPr>
          <w:rFonts w:hint="eastAsia"/>
          <w:b/>
          <w:sz w:val="24"/>
        </w:rPr>
        <w:t xml:space="preserve">the issuance </w:t>
      </w:r>
      <w:r>
        <w:rPr>
          <w:b/>
          <w:sz w:val="24"/>
        </w:rPr>
        <w:t>volume</w:t>
      </w:r>
      <w:r>
        <w:rPr>
          <w:rFonts w:hint="eastAsia"/>
          <w:b/>
          <w:sz w:val="24"/>
        </w:rPr>
        <w:t xml:space="preserve"> </w:t>
      </w:r>
      <w:r>
        <w:rPr>
          <w:b/>
          <w:sz w:val="24"/>
        </w:rPr>
        <w:t>increased year on year</w:t>
      </w:r>
    </w:p>
    <w:p>
      <w:pPr>
        <w:autoSpaceDE w:val="0"/>
        <w:autoSpaceDN w:val="0"/>
        <w:adjustRightInd w:val="0"/>
        <w:rPr>
          <w:color w:val="FF0000"/>
          <w:kern w:val="0"/>
          <w:sz w:val="24"/>
        </w:rPr>
      </w:pPr>
    </w:p>
    <w:p>
      <w:pPr>
        <w:autoSpaceDE w:val="0"/>
        <w:autoSpaceDN w:val="0"/>
        <w:adjustRightInd w:val="0"/>
        <w:rPr>
          <w:kern w:val="0"/>
          <w:sz w:val="24"/>
        </w:rPr>
      </w:pPr>
      <w:r>
        <w:rPr>
          <w:kern w:val="0"/>
          <w:sz w:val="24"/>
        </w:rPr>
        <w:t>Government bond yield</w:t>
      </w:r>
      <w:r>
        <w:rPr>
          <w:rFonts w:hint="eastAsia"/>
          <w:kern w:val="0"/>
          <w:sz w:val="24"/>
        </w:rPr>
        <w:t>s</w:t>
      </w:r>
      <w:r>
        <w:rPr>
          <w:kern w:val="0"/>
          <w:sz w:val="24"/>
        </w:rPr>
        <w:t xml:space="preserve"> declined notably and the yield curve steepened. In Q1, </w:t>
      </w:r>
      <w:r>
        <w:rPr>
          <w:rFonts w:hint="eastAsia"/>
          <w:kern w:val="0"/>
          <w:sz w:val="24"/>
        </w:rPr>
        <w:t>due to the</w:t>
      </w:r>
      <w:r>
        <w:rPr>
          <w:kern w:val="0"/>
          <w:sz w:val="24"/>
        </w:rPr>
        <w:t xml:space="preserve"> fairly good economic fundamentals and the decline in the money-market interest rate, government bond yield</w:t>
      </w:r>
      <w:r>
        <w:rPr>
          <w:rFonts w:hint="eastAsia"/>
          <w:kern w:val="0"/>
          <w:sz w:val="24"/>
        </w:rPr>
        <w:t>s</w:t>
      </w:r>
      <w:r>
        <w:rPr>
          <w:kern w:val="0"/>
          <w:sz w:val="24"/>
        </w:rPr>
        <w:t xml:space="preserve"> generally </w:t>
      </w:r>
      <w:r>
        <w:rPr>
          <w:rFonts w:hint="eastAsia"/>
          <w:kern w:val="0"/>
          <w:sz w:val="24"/>
        </w:rPr>
        <w:t>fell, with</w:t>
      </w:r>
      <w:r>
        <w:rPr>
          <w:kern w:val="0"/>
          <w:sz w:val="24"/>
        </w:rPr>
        <w:t xml:space="preserve"> short-term</w:t>
      </w:r>
      <w:r>
        <w:rPr>
          <w:rFonts w:hint="eastAsia"/>
          <w:kern w:val="0"/>
          <w:sz w:val="24"/>
        </w:rPr>
        <w:t xml:space="preserve"> bond yields declining more notably </w:t>
      </w:r>
      <w:r>
        <w:rPr>
          <w:kern w:val="0"/>
          <w:sz w:val="24"/>
        </w:rPr>
        <w:t xml:space="preserve">than long-term </w:t>
      </w:r>
      <w:r>
        <w:rPr>
          <w:rFonts w:hint="eastAsia"/>
          <w:kern w:val="0"/>
          <w:sz w:val="24"/>
        </w:rPr>
        <w:t>bond</w:t>
      </w:r>
      <w:r>
        <w:rPr>
          <w:kern w:val="0"/>
          <w:sz w:val="24"/>
        </w:rPr>
        <w:t xml:space="preserve"> yields. At end-March, the yield of 1-year, 5-year, and 10-year government bonds posted 3.32 percent, 3.66 percent, and 3.74 percent, respectively, down 47 basis point</w:t>
      </w:r>
      <w:r>
        <w:rPr>
          <w:rFonts w:hint="eastAsia"/>
          <w:kern w:val="0"/>
          <w:sz w:val="24"/>
        </w:rPr>
        <w:t>s</w:t>
      </w:r>
      <w:r>
        <w:rPr>
          <w:kern w:val="0"/>
          <w:sz w:val="24"/>
        </w:rPr>
        <w:t xml:space="preserve">, 18 basis points, and 14 basis points, respectively, from </w:t>
      </w:r>
      <w:r>
        <w:rPr>
          <w:rFonts w:hint="eastAsia"/>
          <w:kern w:val="0"/>
          <w:sz w:val="24"/>
        </w:rPr>
        <w:t xml:space="preserve">the </w:t>
      </w:r>
      <w:r>
        <w:rPr>
          <w:kern w:val="0"/>
          <w:sz w:val="24"/>
        </w:rPr>
        <w:t xml:space="preserve">end </w:t>
      </w:r>
      <w:r>
        <w:rPr>
          <w:rFonts w:hint="eastAsia"/>
          <w:kern w:val="0"/>
          <w:sz w:val="24"/>
        </w:rPr>
        <w:t>of 2017</w:t>
      </w:r>
      <w:r>
        <w:rPr>
          <w:kern w:val="0"/>
          <w:sz w:val="24"/>
        </w:rPr>
        <w:t>. The spread between 1-year and 10-year government bonds</w:t>
      </w:r>
      <w:r>
        <w:rPr>
          <w:rFonts w:hint="eastAsia"/>
          <w:kern w:val="0"/>
          <w:sz w:val="24"/>
        </w:rPr>
        <w:t xml:space="preserve"> </w:t>
      </w:r>
      <w:r>
        <w:rPr>
          <w:kern w:val="0"/>
          <w:sz w:val="24"/>
        </w:rPr>
        <w:t xml:space="preserve">expanded by </w:t>
      </w:r>
      <w:r>
        <w:rPr>
          <w:rFonts w:hint="eastAsia"/>
          <w:kern w:val="0"/>
          <w:sz w:val="24"/>
        </w:rPr>
        <w:t>33</w:t>
      </w:r>
      <w:r>
        <w:rPr>
          <w:kern w:val="0"/>
          <w:sz w:val="24"/>
        </w:rPr>
        <w:t xml:space="preserve"> basis points </w:t>
      </w:r>
      <w:r>
        <w:rPr>
          <w:rFonts w:hint="eastAsia"/>
          <w:kern w:val="0"/>
          <w:sz w:val="24"/>
        </w:rPr>
        <w:t xml:space="preserve">from that at end-2017 </w:t>
      </w:r>
      <w:r>
        <w:rPr>
          <w:kern w:val="0"/>
          <w:sz w:val="24"/>
        </w:rPr>
        <w:t xml:space="preserve">to reach 42 basis points. The bond indices rose slightly. The China Bond Composite Index (net price) rose from 97.97 points at </w:t>
      </w:r>
      <w:r>
        <w:rPr>
          <w:rFonts w:hint="eastAsia"/>
          <w:kern w:val="0"/>
          <w:sz w:val="24"/>
        </w:rPr>
        <w:t>the</w:t>
      </w:r>
      <w:r>
        <w:rPr>
          <w:kern w:val="0"/>
          <w:sz w:val="24"/>
        </w:rPr>
        <w:t xml:space="preserve"> end</w:t>
      </w:r>
      <w:r>
        <w:rPr>
          <w:rFonts w:hint="eastAsia"/>
          <w:kern w:val="0"/>
          <w:sz w:val="24"/>
        </w:rPr>
        <w:t xml:space="preserve"> of 2017</w:t>
      </w:r>
      <w:r>
        <w:rPr>
          <w:kern w:val="0"/>
          <w:sz w:val="24"/>
        </w:rPr>
        <w:t xml:space="preserve"> to 98.85 points at end-March 2018</w:t>
      </w:r>
      <w:r>
        <w:rPr>
          <w:rFonts w:hint="eastAsia"/>
          <w:kern w:val="0"/>
          <w:sz w:val="24"/>
        </w:rPr>
        <w:t>,</w:t>
      </w:r>
      <w:r>
        <w:rPr>
          <w:kern w:val="0"/>
          <w:sz w:val="24"/>
        </w:rPr>
        <w:t xml:space="preserve"> an increase of 0.</w:t>
      </w:r>
      <w:r>
        <w:rPr>
          <w:rFonts w:hint="eastAsia"/>
          <w:kern w:val="0"/>
          <w:sz w:val="24"/>
        </w:rPr>
        <w:t>9</w:t>
      </w:r>
      <w:r>
        <w:rPr>
          <w:kern w:val="0"/>
          <w:sz w:val="24"/>
        </w:rPr>
        <w:t xml:space="preserve"> percent. The China Bond Composite Index (full price) rose from 11</w:t>
      </w:r>
      <w:r>
        <w:rPr>
          <w:rFonts w:hint="eastAsia"/>
          <w:kern w:val="0"/>
          <w:sz w:val="24"/>
        </w:rPr>
        <w:t>3.37</w:t>
      </w:r>
      <w:r>
        <w:rPr>
          <w:kern w:val="0"/>
          <w:sz w:val="24"/>
        </w:rPr>
        <w:t xml:space="preserve"> points at the end of the previous year to 114.66 points at end-March,</w:t>
      </w:r>
      <w:r>
        <w:rPr>
          <w:rFonts w:hint="eastAsia"/>
          <w:kern w:val="0"/>
          <w:sz w:val="24"/>
        </w:rPr>
        <w:t xml:space="preserve"> registering</w:t>
      </w:r>
      <w:r>
        <w:rPr>
          <w:kern w:val="0"/>
          <w:sz w:val="24"/>
        </w:rPr>
        <w:t xml:space="preserve"> an increase of</w:t>
      </w:r>
      <w:r>
        <w:rPr>
          <w:rFonts w:hint="eastAsia"/>
          <w:kern w:val="0"/>
          <w:sz w:val="24"/>
        </w:rPr>
        <w:t xml:space="preserve"> </w:t>
      </w:r>
      <w:r>
        <w:rPr>
          <w:kern w:val="0"/>
          <w:sz w:val="24"/>
        </w:rPr>
        <w:t>1.13 percent. The Shanghai Securities Exchange T-Bond Index increased from 160.85 points at the end of the previous year to 162.96 points at end-March,</w:t>
      </w:r>
      <w:r>
        <w:rPr>
          <w:rFonts w:hint="eastAsia"/>
          <w:kern w:val="0"/>
          <w:sz w:val="24"/>
        </w:rPr>
        <w:t xml:space="preserve"> </w:t>
      </w:r>
      <w:r>
        <w:rPr>
          <w:kern w:val="0"/>
          <w:sz w:val="24"/>
        </w:rPr>
        <w:t>an increase of 1.31 percent.</w:t>
      </w:r>
    </w:p>
    <w:p>
      <w:pPr>
        <w:rPr>
          <w:sz w:val="24"/>
        </w:rPr>
      </w:pPr>
    </w:p>
    <w:p>
      <w:pPr>
        <w:keepNext/>
        <w:jc w:val="center"/>
        <w:rPr>
          <w:b/>
          <w:sz w:val="24"/>
        </w:rPr>
      </w:pPr>
      <w:bookmarkStart w:id="100" w:name="_Toc477878120"/>
      <w:r>
        <w:drawing>
          <wp:inline distT="0" distB="0" distL="0" distR="0">
            <wp:extent cx="5274310" cy="2426970"/>
            <wp:effectExtent l="0" t="0" r="2540" b="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01" w:name="_Toc517190901"/>
      <w:r>
        <w:rPr>
          <w:b/>
          <w:sz w:val="24"/>
        </w:rPr>
        <w:t xml:space="preserve">Figure </w:t>
      </w:r>
      <w:r>
        <w:rPr>
          <w:b/>
          <w:sz w:val="24"/>
        </w:rPr>
        <w:fldChar w:fldCharType="begin"/>
      </w:r>
      <w:r>
        <w:rPr>
          <w:b/>
          <w:sz w:val="24"/>
        </w:rPr>
        <w:instrText xml:space="preserve"> SEQ Figure \* ARABIC </w:instrText>
      </w:r>
      <w:r>
        <w:rPr>
          <w:b/>
          <w:sz w:val="24"/>
        </w:rPr>
        <w:fldChar w:fldCharType="separate"/>
      </w:r>
      <w:r>
        <w:rPr>
          <w:b/>
          <w:sz w:val="24"/>
        </w:rPr>
        <w:t>3</w:t>
      </w:r>
      <w:r>
        <w:rPr>
          <w:b/>
          <w:sz w:val="24"/>
        </w:rPr>
        <w:fldChar w:fldCharType="end"/>
      </w:r>
      <w:r>
        <w:rPr>
          <w:b/>
          <w:sz w:val="24"/>
        </w:rPr>
        <w:t xml:space="preserve"> .Yield Curve of Government Securities on the Inter-bank Market</w:t>
      </w:r>
      <w:bookmarkEnd w:id="100"/>
      <w:bookmarkEnd w:id="101"/>
    </w:p>
    <w:p>
      <w:pPr>
        <w:autoSpaceDE w:val="0"/>
        <w:autoSpaceDN w:val="0"/>
        <w:adjustRightInd w:val="0"/>
        <w:snapToGrid w:val="0"/>
        <w:ind w:firstLine="120" w:firstLineChars="50"/>
        <w:rPr>
          <w:sz w:val="24"/>
        </w:rPr>
      </w:pPr>
      <w:r>
        <w:rPr>
          <w:rFonts w:eastAsia="楷体_GB2312"/>
          <w:sz w:val="24"/>
        </w:rPr>
        <w:t>Source: China Central Depository &amp; Clearing Co., Ltd.</w:t>
      </w:r>
    </w:p>
    <w:p>
      <w:pPr>
        <w:rPr>
          <w:sz w:val="24"/>
        </w:rPr>
      </w:pPr>
    </w:p>
    <w:p>
      <w:pPr>
        <w:rPr>
          <w:sz w:val="24"/>
        </w:rPr>
      </w:pPr>
      <w:r>
        <w:rPr>
          <w:b/>
          <w:sz w:val="24"/>
        </w:rPr>
        <w:t>In general, the bond coupon rates declined somewhat.</w:t>
      </w:r>
      <w:r>
        <w:rPr>
          <w:sz w:val="24"/>
        </w:rPr>
        <w:t xml:space="preserve"> The rate of 10-year government bonds issued in March was 3.85 percent, an increase of 3 basis points from those of the same maturity issued in December 2017. The rate of 7-year financial bonds issued by the China Development Bank was 4.66 percent, a fall of 28 basis points from those of the same maturity issued in December 2017. The average rate of 1-year short-term financing bills (rated A-1) issued by AAA-rated enterprises was 5.19 percent, 32 basis points lower than those of the same maturity issued in December 2017. The average coupon rate of 5-year medium-term notes was 5.98 percent, an increase of 25 basis points from December 2017. </w:t>
      </w:r>
      <w:r>
        <w:rPr>
          <w:rFonts w:hint="eastAsia"/>
          <w:sz w:val="24"/>
        </w:rPr>
        <w:t xml:space="preserve">The </w:t>
      </w:r>
      <w:r>
        <w:rPr>
          <w:sz w:val="24"/>
        </w:rPr>
        <w:t xml:space="preserve">Shibor continued to serve as an important benchmark rate for </w:t>
      </w:r>
      <w:r>
        <w:rPr>
          <w:rFonts w:hint="eastAsia"/>
          <w:sz w:val="24"/>
        </w:rPr>
        <w:t>bond</w:t>
      </w:r>
      <w:r>
        <w:rPr>
          <w:sz w:val="24"/>
        </w:rPr>
        <w:t xml:space="preserve"> pricing. In Q1, a total of 19 floating-rate bonds and inter-bank certificates of deposit were issued based on the Shibor, with a gross issuance volume of RMB 5.77 billion.</w:t>
      </w:r>
      <w:r>
        <w:rPr>
          <w:rFonts w:hint="eastAsia"/>
          <w:sz w:val="24"/>
        </w:rPr>
        <w:t xml:space="preserve"> A total of</w:t>
      </w:r>
      <w:r>
        <w:rPr>
          <w:sz w:val="24"/>
        </w:rPr>
        <w:t xml:space="preserve"> 41 fixed-rate enterprise bonds were issued, with a gross issuance volume of RMB 32.2 billion all based on the Shibor. A total of RMB 92.75 billion of fixed-rate short-term financing bills were issued based on the Shibor, accounting for 83.7 percent of all fixed-rate short-term financing bills.</w:t>
      </w:r>
    </w:p>
    <w:p>
      <w:pPr>
        <w:rPr>
          <w:sz w:val="24"/>
        </w:rPr>
      </w:pPr>
    </w:p>
    <w:p>
      <w:pPr>
        <w:rPr>
          <w:sz w:val="24"/>
        </w:rPr>
      </w:pPr>
      <w:r>
        <w:rPr>
          <w:b/>
          <w:sz w:val="24"/>
        </w:rPr>
        <w:t>Spot bond trading on the inter-bank market was active.</w:t>
      </w:r>
      <w:r>
        <w:rPr>
          <w:sz w:val="24"/>
        </w:rPr>
        <w:t xml:space="preserve"> In Q1, the cumulative </w:t>
      </w:r>
      <w:r>
        <w:rPr>
          <w:rFonts w:hint="eastAsia"/>
          <w:sz w:val="24"/>
        </w:rPr>
        <w:t xml:space="preserve">volume </w:t>
      </w:r>
      <w:r>
        <w:rPr>
          <w:sz w:val="24"/>
        </w:rPr>
        <w:t xml:space="preserve">of spot bond trading posted RMB 24.4 trillion, representing a daily average of RMB 400.5 billion or an increase of 17.8 percent year on year. In terms of the trading entities, Chinese-funded small- and medium-sized banks and securities institutions were net bond sellers, with net sales totaling RMB 1.4 trillion; other financial institutions and vehicles were net bond buyers, with net purchases totaling RMB 1.6 trillion. With respect to the products, a total of RMB 3.1 trillion of spot government bonds were traded, accounting for 12.5 percent of the total spot transactions on the inter-bank market. The </w:t>
      </w:r>
      <w:r>
        <w:rPr>
          <w:rFonts w:hint="eastAsia"/>
          <w:sz w:val="24"/>
        </w:rPr>
        <w:t>volume</w:t>
      </w:r>
      <w:r>
        <w:rPr>
          <w:sz w:val="24"/>
        </w:rPr>
        <w:t xml:space="preserve"> of spot </w:t>
      </w:r>
      <w:r>
        <w:rPr>
          <w:rFonts w:hint="eastAsia"/>
          <w:sz w:val="24"/>
        </w:rPr>
        <w:t xml:space="preserve">trading of </w:t>
      </w:r>
      <w:r>
        <w:rPr>
          <w:sz w:val="24"/>
        </w:rPr>
        <w:t>financial bonds and corporate debenture bonds was RMB 17.3 trillion and RMB 4 trillion, respectively, accounting for 71 percent and 16.4 percent, respectively. Separately, the volume of spot bond transactions on the stock exchanges totaled RMB 1.6 trillion, an increase of 33.3 percent year on year.</w:t>
      </w:r>
    </w:p>
    <w:p>
      <w:pPr>
        <w:rPr>
          <w:sz w:val="24"/>
        </w:rPr>
      </w:pPr>
    </w:p>
    <w:p>
      <w:pPr>
        <w:rPr>
          <w:sz w:val="24"/>
        </w:rPr>
      </w:pPr>
      <w:r>
        <w:rPr>
          <w:b/>
          <w:sz w:val="24"/>
        </w:rPr>
        <w:t xml:space="preserve">The volume of bond issuances increased year on year. </w:t>
      </w:r>
      <w:r>
        <w:rPr>
          <w:sz w:val="24"/>
        </w:rPr>
        <w:t>In Q1, a total of RMB 8.9 trillion of bonds was issued, an increase of 6.1 percent year on year. This was mainly due to the</w:t>
      </w:r>
      <w:r>
        <w:rPr>
          <w:rFonts w:hint="eastAsia"/>
          <w:sz w:val="24"/>
        </w:rPr>
        <w:t xml:space="preserve"> large</w:t>
      </w:r>
      <w:r>
        <w:rPr>
          <w:sz w:val="24"/>
        </w:rPr>
        <w:t xml:space="preserve"> </w:t>
      </w:r>
      <w:r>
        <w:rPr>
          <w:rFonts w:hint="eastAsia"/>
          <w:sz w:val="24"/>
        </w:rPr>
        <w:t>i</w:t>
      </w:r>
      <w:r>
        <w:rPr>
          <w:sz w:val="24"/>
        </w:rPr>
        <w:t xml:space="preserve">ncrease in the issuance of corporate debenture bonds </w:t>
      </w:r>
      <w:r>
        <w:rPr>
          <w:rFonts w:hint="eastAsia"/>
          <w:sz w:val="24"/>
        </w:rPr>
        <w:t xml:space="preserve">compared with </w:t>
      </w:r>
      <w:r>
        <w:rPr>
          <w:sz w:val="24"/>
        </w:rPr>
        <w:t>the corresponding period of the previous year. At end-March, the total volume of outstanding bonds posted RMB 76.3 trillion, an increase of 14.8 percent year on year.</w:t>
      </w:r>
    </w:p>
    <w:p>
      <w:pPr>
        <w:rPr>
          <w:sz w:val="24"/>
        </w:rPr>
      </w:pPr>
    </w:p>
    <w:p>
      <w:pPr>
        <w:keepNext/>
        <w:jc w:val="center"/>
        <w:rPr>
          <w:b/>
          <w:sz w:val="24"/>
        </w:rPr>
      </w:pPr>
      <w:bookmarkStart w:id="102" w:name="_Toc477878115"/>
      <w:bookmarkStart w:id="103" w:name="_Toc517190866"/>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11</w:t>
      </w:r>
      <w:r>
        <w:rPr>
          <w:b/>
          <w:sz w:val="24"/>
        </w:rPr>
        <w:fldChar w:fldCharType="end"/>
      </w:r>
      <w:r>
        <w:rPr>
          <w:b/>
          <w:sz w:val="24"/>
        </w:rPr>
        <w:t xml:space="preserve"> Bond Issuances</w:t>
      </w:r>
      <w:r>
        <w:rPr>
          <w:rFonts w:hint="eastAsia"/>
          <w:b/>
          <w:sz w:val="24"/>
        </w:rPr>
        <w:t>,</w:t>
      </w:r>
      <w:r>
        <w:rPr>
          <w:b/>
          <w:sz w:val="24"/>
        </w:rPr>
        <w:t xml:space="preserve"> </w:t>
      </w:r>
      <w:r>
        <w:rPr>
          <w:rFonts w:hint="eastAsia"/>
          <w:b/>
          <w:sz w:val="24"/>
        </w:rPr>
        <w:t xml:space="preserve">Q1 </w:t>
      </w:r>
      <w:r>
        <w:rPr>
          <w:b/>
          <w:sz w:val="24"/>
        </w:rPr>
        <w:t>201</w:t>
      </w:r>
      <w:bookmarkEnd w:id="102"/>
      <w:r>
        <w:rPr>
          <w:rFonts w:hint="eastAsia"/>
          <w:b/>
          <w:sz w:val="24"/>
        </w:rPr>
        <w:t>8</w:t>
      </w:r>
      <w:bookmarkEnd w:id="103"/>
    </w:p>
    <w:tbl>
      <w:tblPr>
        <w:tblStyle w:val="96"/>
        <w:tblW w:w="8280" w:type="dxa"/>
        <w:tblInd w:w="0" w:type="dxa"/>
        <w:tblLayout w:type="fixed"/>
        <w:tblCellMar>
          <w:top w:w="0" w:type="dxa"/>
          <w:left w:w="0" w:type="dxa"/>
          <w:bottom w:w="0" w:type="dxa"/>
          <w:right w:w="0" w:type="dxa"/>
        </w:tblCellMar>
      </w:tblPr>
      <w:tblGrid>
        <w:gridCol w:w="4140"/>
        <w:gridCol w:w="1800"/>
        <w:gridCol w:w="2340"/>
      </w:tblGrid>
      <w:tr>
        <w:tblPrEx>
          <w:tblLayout w:type="fixed"/>
          <w:tblCellMar>
            <w:top w:w="0" w:type="dxa"/>
            <w:left w:w="0" w:type="dxa"/>
            <w:bottom w:w="0" w:type="dxa"/>
            <w:right w:w="0" w:type="dxa"/>
          </w:tblCellMar>
        </w:tblPrEx>
        <w:trPr>
          <w:trHeight w:val="315" w:hRule="atLeast"/>
        </w:trPr>
        <w:tc>
          <w:tcPr>
            <w:tcW w:w="4140" w:type="dxa"/>
            <w:tcBorders>
              <w:top w:val="single" w:color="008000" w:sz="12" w:space="0"/>
              <w:left w:val="nil"/>
              <w:bottom w:val="single" w:color="008000" w:sz="6" w:space="0"/>
              <w:right w:val="single" w:color="008000" w:sz="8" w:space="0"/>
            </w:tcBorders>
            <w:vAlign w:val="center"/>
          </w:tcPr>
          <w:p>
            <w:pPr>
              <w:jc w:val="center"/>
              <w:rPr>
                <w:sz w:val="24"/>
              </w:rPr>
            </w:pPr>
            <w:r>
              <w:rPr>
                <w:sz w:val="24"/>
              </w:rPr>
              <w:t>Type of bond</w:t>
            </w:r>
          </w:p>
        </w:tc>
        <w:tc>
          <w:tcPr>
            <w:tcW w:w="1800" w:type="dxa"/>
            <w:tcBorders>
              <w:top w:val="single" w:color="008000" w:sz="12" w:space="0"/>
              <w:left w:val="nil"/>
              <w:bottom w:val="single" w:color="008000" w:sz="6" w:space="0"/>
              <w:right w:val="single" w:color="008000" w:sz="8" w:space="0"/>
            </w:tcBorders>
            <w:vAlign w:val="center"/>
          </w:tcPr>
          <w:p>
            <w:pPr>
              <w:adjustRightInd w:val="0"/>
              <w:snapToGrid w:val="0"/>
              <w:jc w:val="center"/>
              <w:rPr>
                <w:sz w:val="24"/>
              </w:rPr>
            </w:pPr>
            <w:r>
              <w:rPr>
                <w:sz w:val="24"/>
              </w:rPr>
              <w:t>Issuances (RMB 100 million)</w:t>
            </w:r>
          </w:p>
        </w:tc>
        <w:tc>
          <w:tcPr>
            <w:tcW w:w="2340" w:type="dxa"/>
            <w:tcBorders>
              <w:top w:val="single" w:color="008000" w:sz="12" w:space="0"/>
              <w:left w:val="nil"/>
              <w:bottom w:val="single" w:color="008000" w:sz="6" w:space="0"/>
              <w:right w:val="nil"/>
            </w:tcBorders>
            <w:vAlign w:val="center"/>
          </w:tcPr>
          <w:p>
            <w:pPr>
              <w:adjustRightInd w:val="0"/>
              <w:snapToGrid w:val="0"/>
              <w:jc w:val="center"/>
              <w:rPr>
                <w:sz w:val="24"/>
              </w:rPr>
            </w:pPr>
            <w:r>
              <w:rPr>
                <w:sz w:val="24"/>
              </w:rPr>
              <w:t xml:space="preserve">Year-on-year </w:t>
            </w:r>
            <w:r>
              <w:rPr>
                <w:rFonts w:hint="eastAsia"/>
                <w:sz w:val="24"/>
              </w:rPr>
              <w:t>change</w:t>
            </w:r>
            <w:r>
              <w:rPr>
                <w:sz w:val="24"/>
              </w:rPr>
              <w:t xml:space="preserve"> (RMB 100 million)</w:t>
            </w:r>
          </w:p>
        </w:tc>
      </w:tr>
      <w:tr>
        <w:tblPrEx>
          <w:tblLayout w:type="fixed"/>
          <w:tblCellMar>
            <w:top w:w="0" w:type="dxa"/>
            <w:left w:w="0" w:type="dxa"/>
            <w:bottom w:w="0" w:type="dxa"/>
            <w:right w:w="0" w:type="dxa"/>
          </w:tblCellMar>
        </w:tblPrEx>
        <w:trPr>
          <w:trHeight w:val="345" w:hRule="atLeast"/>
        </w:trPr>
        <w:tc>
          <w:tcPr>
            <w:tcW w:w="4140" w:type="dxa"/>
            <w:tcBorders>
              <w:top w:val="single" w:color="008000" w:sz="6" w:space="0"/>
              <w:left w:val="nil"/>
              <w:bottom w:val="nil"/>
              <w:right w:val="single" w:color="008000" w:sz="8" w:space="0"/>
            </w:tcBorders>
            <w:shd w:val="clear" w:color="auto" w:fill="CCFFCC"/>
            <w:vAlign w:val="center"/>
          </w:tcPr>
          <w:p>
            <w:pPr>
              <w:rPr>
                <w:sz w:val="24"/>
              </w:rPr>
            </w:pPr>
            <w:r>
              <w:rPr>
                <w:sz w:val="24"/>
              </w:rPr>
              <w:t>Government securities</w:t>
            </w:r>
          </w:p>
        </w:tc>
        <w:tc>
          <w:tcPr>
            <w:tcW w:w="1800" w:type="dxa"/>
            <w:tcBorders>
              <w:top w:val="single" w:color="008000" w:sz="6" w:space="0"/>
              <w:left w:val="nil"/>
              <w:bottom w:val="nil"/>
              <w:right w:val="single" w:color="008000" w:sz="2" w:space="0"/>
            </w:tcBorders>
            <w:shd w:val="clear" w:color="auto" w:fill="CCFFCC"/>
            <w:vAlign w:val="center"/>
          </w:tcPr>
          <w:p>
            <w:pPr>
              <w:adjustRightInd w:val="0"/>
              <w:snapToGrid w:val="0"/>
              <w:jc w:val="right"/>
              <w:rPr>
                <w:sz w:val="24"/>
              </w:rPr>
            </w:pPr>
            <w:r>
              <w:rPr>
                <w:rFonts w:hint="eastAsia"/>
                <w:sz w:val="24"/>
              </w:rPr>
              <w:t>5</w:t>
            </w:r>
            <w:r>
              <w:rPr>
                <w:sz w:val="24"/>
              </w:rPr>
              <w:t>,199</w:t>
            </w:r>
          </w:p>
        </w:tc>
        <w:tc>
          <w:tcPr>
            <w:tcW w:w="2340" w:type="dxa"/>
            <w:tcBorders>
              <w:top w:val="single" w:color="008000" w:sz="6" w:space="0"/>
              <w:left w:val="single" w:color="008000" w:sz="2" w:space="0"/>
              <w:bottom w:val="nil"/>
              <w:right w:val="nil"/>
            </w:tcBorders>
            <w:shd w:val="clear" w:color="auto" w:fill="CCFFCC"/>
            <w:vAlign w:val="center"/>
          </w:tcPr>
          <w:p>
            <w:pPr>
              <w:adjustRightInd w:val="0"/>
              <w:snapToGrid w:val="0"/>
              <w:jc w:val="right"/>
              <w:rPr>
                <w:sz w:val="24"/>
              </w:rPr>
            </w:pPr>
            <w:r>
              <w:rPr>
                <w:sz w:val="24"/>
              </w:rPr>
              <w:t>242</w:t>
            </w:r>
          </w:p>
        </w:tc>
      </w:tr>
      <w:tr>
        <w:tblPrEx>
          <w:tblLayout w:type="fixed"/>
          <w:tblCellMar>
            <w:top w:w="0" w:type="dxa"/>
            <w:left w:w="0" w:type="dxa"/>
            <w:bottom w:w="0" w:type="dxa"/>
            <w:right w:w="0" w:type="dxa"/>
          </w:tblCellMar>
        </w:tblPrEx>
        <w:trPr>
          <w:trHeight w:val="345" w:hRule="atLeast"/>
        </w:trPr>
        <w:tc>
          <w:tcPr>
            <w:tcW w:w="4140" w:type="dxa"/>
            <w:tcBorders>
              <w:top w:val="single" w:color="008000" w:sz="6" w:space="0"/>
              <w:left w:val="nil"/>
              <w:bottom w:val="nil"/>
              <w:right w:val="single" w:color="008000" w:sz="8" w:space="0"/>
            </w:tcBorders>
            <w:shd w:val="clear" w:color="auto" w:fill="CCFFCC"/>
            <w:vAlign w:val="center"/>
          </w:tcPr>
          <w:p>
            <w:pPr>
              <w:rPr>
                <w:sz w:val="24"/>
              </w:rPr>
            </w:pPr>
            <w:r>
              <w:rPr>
                <w:sz w:val="24"/>
              </w:rPr>
              <w:t>Local government bonds</w:t>
            </w:r>
          </w:p>
        </w:tc>
        <w:tc>
          <w:tcPr>
            <w:tcW w:w="1800" w:type="dxa"/>
            <w:tcBorders>
              <w:top w:val="single" w:color="008000" w:sz="6" w:space="0"/>
              <w:left w:val="nil"/>
              <w:bottom w:val="nil"/>
              <w:right w:val="single" w:color="008000" w:sz="2" w:space="0"/>
            </w:tcBorders>
            <w:shd w:val="clear" w:color="auto" w:fill="CCFFCC"/>
            <w:vAlign w:val="center"/>
          </w:tcPr>
          <w:p>
            <w:pPr>
              <w:adjustRightInd w:val="0"/>
              <w:snapToGrid w:val="0"/>
              <w:jc w:val="right"/>
              <w:rPr>
                <w:sz w:val="24"/>
              </w:rPr>
            </w:pPr>
            <w:r>
              <w:rPr>
                <w:sz w:val="24"/>
              </w:rPr>
              <w:t>2,19</w:t>
            </w:r>
            <w:r>
              <w:rPr>
                <w:rFonts w:hint="eastAsia"/>
                <w:sz w:val="24"/>
              </w:rPr>
              <w:t>5</w:t>
            </w:r>
          </w:p>
        </w:tc>
        <w:tc>
          <w:tcPr>
            <w:tcW w:w="2340" w:type="dxa"/>
            <w:tcBorders>
              <w:top w:val="single" w:color="008000" w:sz="6" w:space="0"/>
              <w:left w:val="single" w:color="008000" w:sz="2" w:space="0"/>
              <w:bottom w:val="nil"/>
              <w:right w:val="nil"/>
            </w:tcBorders>
            <w:shd w:val="clear" w:color="auto" w:fill="CCFFCC"/>
            <w:vAlign w:val="center"/>
          </w:tcPr>
          <w:p>
            <w:pPr>
              <w:adjustRightInd w:val="0"/>
              <w:snapToGrid w:val="0"/>
              <w:jc w:val="right"/>
              <w:rPr>
                <w:sz w:val="24"/>
              </w:rPr>
            </w:pPr>
            <w:r>
              <w:rPr>
                <w:rFonts w:hint="eastAsia"/>
                <w:sz w:val="24"/>
              </w:rPr>
              <w:t>-</w:t>
            </w:r>
            <w:r>
              <w:rPr>
                <w:sz w:val="24"/>
              </w:rPr>
              <w:t>2,550</w:t>
            </w:r>
          </w:p>
        </w:tc>
      </w:tr>
      <w:tr>
        <w:tblPrEx>
          <w:tblLayout w:type="fixed"/>
          <w:tblCellMar>
            <w:top w:w="0" w:type="dxa"/>
            <w:left w:w="0" w:type="dxa"/>
            <w:bottom w:w="0" w:type="dxa"/>
            <w:right w:w="0" w:type="dxa"/>
          </w:tblCellMar>
        </w:tblPrEx>
        <w:trPr>
          <w:trHeight w:val="345" w:hRule="atLeast"/>
        </w:trPr>
        <w:tc>
          <w:tcPr>
            <w:tcW w:w="4140" w:type="dxa"/>
            <w:tcBorders>
              <w:top w:val="nil"/>
              <w:left w:val="nil"/>
              <w:bottom w:val="nil"/>
              <w:right w:val="single" w:color="008000" w:sz="8" w:space="0"/>
            </w:tcBorders>
            <w:vAlign w:val="center"/>
          </w:tcPr>
          <w:p>
            <w:pPr>
              <w:rPr>
                <w:sz w:val="24"/>
              </w:rPr>
            </w:pPr>
            <w:r>
              <w:rPr>
                <w:sz w:val="24"/>
              </w:rPr>
              <w:t xml:space="preserve">Central-bank bills </w:t>
            </w:r>
          </w:p>
        </w:tc>
        <w:tc>
          <w:tcPr>
            <w:tcW w:w="1800" w:type="dxa"/>
            <w:tcBorders>
              <w:top w:val="nil"/>
              <w:left w:val="nil"/>
              <w:bottom w:val="nil"/>
              <w:right w:val="single" w:color="008000" w:sz="2" w:space="0"/>
            </w:tcBorders>
            <w:vAlign w:val="center"/>
          </w:tcPr>
          <w:p>
            <w:pPr>
              <w:tabs>
                <w:tab w:val="center" w:pos="4320"/>
                <w:tab w:val="right" w:pos="8640"/>
              </w:tabs>
              <w:adjustRightInd w:val="0"/>
              <w:snapToGrid w:val="0"/>
              <w:jc w:val="right"/>
              <w:rPr>
                <w:sz w:val="24"/>
              </w:rPr>
            </w:pPr>
            <w:r>
              <w:rPr>
                <w:sz w:val="24"/>
              </w:rPr>
              <w:t xml:space="preserve">0 </w:t>
            </w:r>
          </w:p>
        </w:tc>
        <w:tc>
          <w:tcPr>
            <w:tcW w:w="2340" w:type="dxa"/>
            <w:tcBorders>
              <w:top w:val="nil"/>
              <w:left w:val="single" w:color="008000" w:sz="2" w:space="0"/>
              <w:bottom w:val="nil"/>
              <w:right w:val="nil"/>
            </w:tcBorders>
            <w:vAlign w:val="center"/>
          </w:tcPr>
          <w:p>
            <w:pPr>
              <w:tabs>
                <w:tab w:val="center" w:pos="4320"/>
                <w:tab w:val="right" w:pos="8640"/>
              </w:tabs>
              <w:adjustRightInd w:val="0"/>
              <w:snapToGrid w:val="0"/>
              <w:jc w:val="right"/>
              <w:rPr>
                <w:sz w:val="24"/>
              </w:rPr>
            </w:pPr>
            <w:r>
              <w:rPr>
                <w:sz w:val="24"/>
              </w:rPr>
              <w:t>0</w:t>
            </w:r>
          </w:p>
        </w:tc>
      </w:tr>
      <w:tr>
        <w:tblPrEx>
          <w:tblLayout w:type="fixed"/>
          <w:tblCellMar>
            <w:top w:w="0" w:type="dxa"/>
            <w:left w:w="0" w:type="dxa"/>
            <w:bottom w:w="0" w:type="dxa"/>
            <w:right w:w="0" w:type="dxa"/>
          </w:tblCellMar>
        </w:tblPrEx>
        <w:trPr>
          <w:trHeight w:val="330" w:hRule="atLeast"/>
        </w:trPr>
        <w:tc>
          <w:tcPr>
            <w:tcW w:w="4140" w:type="dxa"/>
            <w:tcBorders>
              <w:top w:val="nil"/>
              <w:left w:val="nil"/>
              <w:bottom w:val="nil"/>
              <w:right w:val="single" w:color="008000" w:sz="8" w:space="0"/>
            </w:tcBorders>
            <w:shd w:val="clear" w:color="auto" w:fill="CCFFCC"/>
            <w:vAlign w:val="center"/>
          </w:tcPr>
          <w:p>
            <w:pPr>
              <w:tabs>
                <w:tab w:val="center" w:pos="4320"/>
                <w:tab w:val="right" w:pos="8640"/>
              </w:tabs>
              <w:rPr>
                <w:sz w:val="24"/>
              </w:rPr>
            </w:pPr>
            <w:r>
              <w:rPr>
                <w:sz w:val="24"/>
              </w:rPr>
              <w:t>Financial bonds</w:t>
            </w:r>
            <w:r>
              <w:rPr>
                <w:sz w:val="24"/>
                <w:vertAlign w:val="superscript"/>
              </w:rPr>
              <w:fldChar w:fldCharType="begin"/>
            </w:r>
            <w:r>
              <w:rPr>
                <w:sz w:val="24"/>
                <w:vertAlign w:val="superscript"/>
              </w:rPr>
              <w:instrText xml:space="preserve"> = 1 \* GB3 </w:instrText>
            </w:r>
            <w:r>
              <w:rPr>
                <w:sz w:val="24"/>
                <w:vertAlign w:val="superscript"/>
              </w:rPr>
              <w:fldChar w:fldCharType="separate"/>
            </w:r>
            <w:r>
              <w:rPr>
                <w:rFonts w:hint="eastAsia"/>
                <w:sz w:val="24"/>
                <w:vertAlign w:val="superscript"/>
              </w:rPr>
              <w:t>①</w:t>
            </w:r>
            <w:r>
              <w:rPr>
                <w:sz w:val="24"/>
                <w:vertAlign w:val="superscript"/>
              </w:rPr>
              <w:fldChar w:fldCharType="end"/>
            </w:r>
          </w:p>
        </w:tc>
        <w:tc>
          <w:tcPr>
            <w:tcW w:w="1800" w:type="dxa"/>
            <w:tcBorders>
              <w:top w:val="nil"/>
              <w:left w:val="single" w:color="008000" w:sz="8" w:space="0"/>
              <w:bottom w:val="nil"/>
              <w:right w:val="single" w:color="008000" w:sz="2" w:space="0"/>
            </w:tcBorders>
            <w:shd w:val="clear" w:color="auto" w:fill="CCFFCC"/>
            <w:vAlign w:val="center"/>
          </w:tcPr>
          <w:p>
            <w:pPr>
              <w:adjustRightInd w:val="0"/>
              <w:snapToGrid w:val="0"/>
              <w:jc w:val="right"/>
              <w:rPr>
                <w:sz w:val="24"/>
              </w:rPr>
            </w:pPr>
            <w:r>
              <w:rPr>
                <w:rFonts w:hint="eastAsia"/>
                <w:sz w:val="24"/>
              </w:rPr>
              <w:t>65</w:t>
            </w:r>
            <w:r>
              <w:rPr>
                <w:sz w:val="24"/>
              </w:rPr>
              <w:t>,000</w:t>
            </w:r>
          </w:p>
        </w:tc>
        <w:tc>
          <w:tcPr>
            <w:tcW w:w="2340" w:type="dxa"/>
            <w:tcBorders>
              <w:top w:val="nil"/>
              <w:left w:val="single" w:color="008000" w:sz="2" w:space="0"/>
              <w:bottom w:val="nil"/>
              <w:right w:val="nil"/>
            </w:tcBorders>
            <w:shd w:val="clear" w:color="auto" w:fill="CCFFCC"/>
            <w:vAlign w:val="center"/>
          </w:tcPr>
          <w:p>
            <w:pPr>
              <w:adjustRightInd w:val="0"/>
              <w:snapToGrid w:val="0"/>
              <w:jc w:val="right"/>
              <w:rPr>
                <w:sz w:val="24"/>
              </w:rPr>
            </w:pPr>
            <w:r>
              <w:rPr>
                <w:sz w:val="24"/>
              </w:rPr>
              <w:t>2,1</w:t>
            </w:r>
            <w:r>
              <w:rPr>
                <w:rFonts w:hint="eastAsia"/>
                <w:sz w:val="24"/>
              </w:rPr>
              <w:t>9</w:t>
            </w:r>
            <w:r>
              <w:rPr>
                <w:sz w:val="24"/>
              </w:rPr>
              <w:t>9</w:t>
            </w:r>
          </w:p>
        </w:tc>
      </w:tr>
      <w:tr>
        <w:tblPrEx>
          <w:tblLayout w:type="fixed"/>
        </w:tblPrEx>
        <w:trPr>
          <w:trHeight w:val="330" w:hRule="atLeast"/>
        </w:trPr>
        <w:tc>
          <w:tcPr>
            <w:tcW w:w="4140" w:type="dxa"/>
            <w:tcBorders>
              <w:top w:val="nil"/>
              <w:left w:val="nil"/>
              <w:bottom w:val="nil"/>
              <w:right w:val="single" w:color="008000" w:sz="8" w:space="0"/>
            </w:tcBorders>
            <w:vAlign w:val="center"/>
          </w:tcPr>
          <w:p>
            <w:pPr>
              <w:rPr>
                <w:sz w:val="24"/>
              </w:rPr>
            </w:pPr>
            <w:r>
              <w:rPr>
                <w:sz w:val="24"/>
              </w:rPr>
              <w:t xml:space="preserve">   Of which: Financial bonds issued by the China Development Bank and policy financial bonds </w:t>
            </w:r>
          </w:p>
          <w:p>
            <w:pPr>
              <w:rPr>
                <w:sz w:val="24"/>
              </w:rPr>
            </w:pPr>
            <w:r>
              <w:rPr>
                <w:sz w:val="24"/>
              </w:rPr>
              <w:t xml:space="preserve">            Inter-bank certificates of deposits</w:t>
            </w:r>
          </w:p>
        </w:tc>
        <w:tc>
          <w:tcPr>
            <w:tcW w:w="1800" w:type="dxa"/>
            <w:tcBorders>
              <w:top w:val="nil"/>
              <w:left w:val="single" w:color="008000" w:sz="8" w:space="0"/>
              <w:bottom w:val="nil"/>
              <w:right w:val="single" w:color="008000" w:sz="2" w:space="0"/>
            </w:tcBorders>
            <w:vAlign w:val="center"/>
          </w:tcPr>
          <w:p>
            <w:pPr>
              <w:adjustRightInd w:val="0"/>
              <w:snapToGrid w:val="0"/>
              <w:jc w:val="right"/>
              <w:rPr>
                <w:sz w:val="24"/>
              </w:rPr>
            </w:pPr>
            <w:r>
              <w:rPr>
                <w:sz w:val="24"/>
              </w:rPr>
              <w:t>9,19</w:t>
            </w:r>
            <w:r>
              <w:rPr>
                <w:rFonts w:hint="eastAsia"/>
                <w:sz w:val="24"/>
              </w:rPr>
              <w:t>3</w:t>
            </w:r>
          </w:p>
          <w:p>
            <w:pPr>
              <w:keepNext/>
              <w:keepLines/>
              <w:adjustRightInd w:val="0"/>
              <w:snapToGrid w:val="0"/>
              <w:spacing w:before="20" w:after="20"/>
              <w:jc w:val="right"/>
              <w:outlineLvl w:val="1"/>
              <w:rPr>
                <w:sz w:val="24"/>
              </w:rPr>
            </w:pPr>
          </w:p>
          <w:p>
            <w:pPr>
              <w:adjustRightInd w:val="0"/>
              <w:snapToGrid w:val="0"/>
              <w:jc w:val="right"/>
              <w:rPr>
                <w:sz w:val="24"/>
              </w:rPr>
            </w:pPr>
            <w:r>
              <w:rPr>
                <w:rFonts w:hint="eastAsia"/>
                <w:sz w:val="24"/>
              </w:rPr>
              <w:t>52</w:t>
            </w:r>
            <w:r>
              <w:rPr>
                <w:sz w:val="24"/>
              </w:rPr>
              <w:t>,4</w:t>
            </w:r>
            <w:r>
              <w:rPr>
                <w:rFonts w:hint="eastAsia"/>
                <w:sz w:val="24"/>
              </w:rPr>
              <w:t>2</w:t>
            </w:r>
            <w:r>
              <w:rPr>
                <w:sz w:val="24"/>
              </w:rPr>
              <w:t>3</w:t>
            </w:r>
          </w:p>
        </w:tc>
        <w:tc>
          <w:tcPr>
            <w:tcW w:w="2340" w:type="dxa"/>
            <w:tcBorders>
              <w:top w:val="nil"/>
              <w:left w:val="single" w:color="008000" w:sz="2" w:space="0"/>
              <w:bottom w:val="nil"/>
              <w:right w:val="nil"/>
            </w:tcBorders>
            <w:vAlign w:val="center"/>
          </w:tcPr>
          <w:p>
            <w:pPr>
              <w:adjustRightInd w:val="0"/>
              <w:snapToGrid w:val="0"/>
              <w:jc w:val="right"/>
              <w:rPr>
                <w:sz w:val="24"/>
              </w:rPr>
            </w:pPr>
            <w:r>
              <w:rPr>
                <w:sz w:val="24"/>
              </w:rPr>
              <w:t>877</w:t>
            </w:r>
          </w:p>
          <w:p>
            <w:pPr>
              <w:keepNext/>
              <w:keepLines/>
              <w:adjustRightInd w:val="0"/>
              <w:snapToGrid w:val="0"/>
              <w:spacing w:before="20" w:after="20"/>
              <w:jc w:val="right"/>
              <w:outlineLvl w:val="1"/>
              <w:rPr>
                <w:sz w:val="24"/>
              </w:rPr>
            </w:pPr>
          </w:p>
          <w:p>
            <w:pPr>
              <w:adjustRightInd w:val="0"/>
              <w:snapToGrid w:val="0"/>
              <w:jc w:val="right"/>
              <w:rPr>
                <w:sz w:val="24"/>
              </w:rPr>
            </w:pPr>
            <w:r>
              <w:rPr>
                <w:rFonts w:hint="eastAsia"/>
                <w:sz w:val="24"/>
              </w:rPr>
              <w:t>2,</w:t>
            </w:r>
            <w:r>
              <w:rPr>
                <w:sz w:val="24"/>
              </w:rPr>
              <w:t>39</w:t>
            </w:r>
            <w:r>
              <w:rPr>
                <w:rFonts w:hint="eastAsia"/>
                <w:sz w:val="24"/>
              </w:rPr>
              <w:t>5</w:t>
            </w:r>
          </w:p>
        </w:tc>
      </w:tr>
      <w:tr>
        <w:tblPrEx>
          <w:tblLayout w:type="fixed"/>
          <w:tblCellMar>
            <w:top w:w="0" w:type="dxa"/>
            <w:left w:w="0" w:type="dxa"/>
            <w:bottom w:w="0" w:type="dxa"/>
            <w:right w:w="0" w:type="dxa"/>
          </w:tblCellMar>
        </w:tblPrEx>
        <w:trPr>
          <w:trHeight w:val="330" w:hRule="atLeast"/>
        </w:trPr>
        <w:tc>
          <w:tcPr>
            <w:tcW w:w="4140" w:type="dxa"/>
            <w:tcBorders>
              <w:top w:val="nil"/>
              <w:left w:val="nil"/>
              <w:bottom w:val="nil"/>
              <w:right w:val="single" w:color="008000" w:sz="8" w:space="0"/>
            </w:tcBorders>
            <w:shd w:val="clear" w:color="auto" w:fill="CCFFCC"/>
            <w:vAlign w:val="center"/>
          </w:tcPr>
          <w:p>
            <w:pPr>
              <w:rPr>
                <w:sz w:val="24"/>
              </w:rPr>
            </w:pPr>
            <w:r>
              <w:rPr>
                <w:sz w:val="24"/>
              </w:rPr>
              <w:t>Corporate debenture bonds</w:t>
            </w:r>
            <w:r>
              <w:rPr>
                <w:rFonts w:hint="eastAsia"/>
                <w:sz w:val="24"/>
                <w:vertAlign w:val="superscript"/>
              </w:rPr>
              <w:t>②</w:t>
            </w:r>
          </w:p>
        </w:tc>
        <w:tc>
          <w:tcPr>
            <w:tcW w:w="1800" w:type="dxa"/>
            <w:tcBorders>
              <w:top w:val="nil"/>
              <w:left w:val="single" w:color="008000" w:sz="8" w:space="0"/>
              <w:bottom w:val="nil"/>
              <w:right w:val="single" w:color="008000" w:sz="2" w:space="0"/>
            </w:tcBorders>
            <w:shd w:val="clear" w:color="auto" w:fill="CCFFCC"/>
            <w:vAlign w:val="center"/>
          </w:tcPr>
          <w:p>
            <w:pPr>
              <w:adjustRightInd w:val="0"/>
              <w:snapToGrid w:val="0"/>
              <w:jc w:val="right"/>
              <w:rPr>
                <w:sz w:val="24"/>
              </w:rPr>
            </w:pPr>
            <w:r>
              <w:rPr>
                <w:rFonts w:hint="eastAsia"/>
                <w:sz w:val="24"/>
              </w:rPr>
              <w:t>15</w:t>
            </w:r>
            <w:r>
              <w:rPr>
                <w:sz w:val="24"/>
              </w:rPr>
              <w:t>,987</w:t>
            </w:r>
          </w:p>
        </w:tc>
        <w:tc>
          <w:tcPr>
            <w:tcW w:w="2340" w:type="dxa"/>
            <w:tcBorders>
              <w:top w:val="nil"/>
              <w:left w:val="single" w:color="008000" w:sz="2" w:space="0"/>
              <w:bottom w:val="nil"/>
              <w:right w:val="nil"/>
            </w:tcBorders>
            <w:shd w:val="clear" w:color="auto" w:fill="CCFFCC"/>
            <w:vAlign w:val="center"/>
          </w:tcPr>
          <w:p>
            <w:pPr>
              <w:adjustRightInd w:val="0"/>
              <w:snapToGrid w:val="0"/>
              <w:jc w:val="right"/>
              <w:rPr>
                <w:sz w:val="24"/>
              </w:rPr>
            </w:pPr>
            <w:r>
              <w:rPr>
                <w:rFonts w:hint="eastAsia"/>
                <w:sz w:val="24"/>
              </w:rPr>
              <w:t>5,</w:t>
            </w:r>
            <w:r>
              <w:rPr>
                <w:sz w:val="24"/>
              </w:rPr>
              <w:t>033</w:t>
            </w:r>
          </w:p>
        </w:tc>
      </w:tr>
      <w:tr>
        <w:tblPrEx>
          <w:tblLayout w:type="fixed"/>
          <w:tblCellMar>
            <w:top w:w="0" w:type="dxa"/>
            <w:left w:w="0" w:type="dxa"/>
            <w:bottom w:w="0" w:type="dxa"/>
            <w:right w:w="0" w:type="dxa"/>
          </w:tblCellMar>
        </w:tblPrEx>
        <w:trPr>
          <w:trHeight w:val="300" w:hRule="atLeast"/>
        </w:trPr>
        <w:tc>
          <w:tcPr>
            <w:tcW w:w="4140" w:type="dxa"/>
            <w:tcBorders>
              <w:top w:val="nil"/>
              <w:left w:val="nil"/>
              <w:bottom w:val="nil"/>
              <w:right w:val="single" w:color="008000" w:sz="8" w:space="0"/>
            </w:tcBorders>
            <w:vAlign w:val="center"/>
          </w:tcPr>
          <w:p>
            <w:pPr>
              <w:ind w:left="1200" w:hanging="1200" w:hangingChars="500"/>
              <w:rPr>
                <w:sz w:val="24"/>
              </w:rPr>
            </w:pPr>
            <w:r>
              <w:rPr>
                <w:sz w:val="24"/>
              </w:rPr>
              <w:t xml:space="preserve">   Of which: Debt-financing instruments of non-financial enterprises </w:t>
            </w:r>
          </w:p>
        </w:tc>
        <w:tc>
          <w:tcPr>
            <w:tcW w:w="1800" w:type="dxa"/>
            <w:tcBorders>
              <w:top w:val="nil"/>
              <w:left w:val="single" w:color="008000" w:sz="8" w:space="0"/>
              <w:bottom w:val="nil"/>
              <w:right w:val="single" w:color="008000" w:sz="2" w:space="0"/>
            </w:tcBorders>
            <w:vAlign w:val="center"/>
          </w:tcPr>
          <w:p>
            <w:pPr>
              <w:adjustRightInd w:val="0"/>
              <w:snapToGrid w:val="0"/>
              <w:jc w:val="right"/>
              <w:rPr>
                <w:sz w:val="24"/>
              </w:rPr>
            </w:pPr>
            <w:r>
              <w:rPr>
                <w:rFonts w:hint="eastAsia"/>
                <w:sz w:val="24"/>
              </w:rPr>
              <w:t>12</w:t>
            </w:r>
            <w:r>
              <w:rPr>
                <w:sz w:val="24"/>
              </w:rPr>
              <w:t>,846</w:t>
            </w:r>
          </w:p>
        </w:tc>
        <w:tc>
          <w:tcPr>
            <w:tcW w:w="2340" w:type="dxa"/>
            <w:tcBorders>
              <w:top w:val="nil"/>
              <w:left w:val="single" w:color="008000" w:sz="2" w:space="0"/>
              <w:bottom w:val="nil"/>
              <w:right w:val="nil"/>
            </w:tcBorders>
            <w:vAlign w:val="center"/>
          </w:tcPr>
          <w:p>
            <w:pPr>
              <w:adjustRightInd w:val="0"/>
              <w:snapToGrid w:val="0"/>
              <w:jc w:val="right"/>
              <w:rPr>
                <w:sz w:val="24"/>
              </w:rPr>
            </w:pPr>
            <w:r>
              <w:rPr>
                <w:sz w:val="24"/>
              </w:rPr>
              <w:t>4,644</w:t>
            </w:r>
          </w:p>
        </w:tc>
      </w:tr>
      <w:tr>
        <w:tblPrEx>
          <w:tblLayout w:type="fixed"/>
          <w:tblCellMar>
            <w:top w:w="0" w:type="dxa"/>
            <w:left w:w="0" w:type="dxa"/>
            <w:bottom w:w="0" w:type="dxa"/>
            <w:right w:w="0" w:type="dxa"/>
          </w:tblCellMar>
        </w:tblPrEx>
        <w:trPr>
          <w:trHeight w:val="330" w:hRule="atLeast"/>
        </w:trPr>
        <w:tc>
          <w:tcPr>
            <w:tcW w:w="4140" w:type="dxa"/>
            <w:tcBorders>
              <w:top w:val="nil"/>
              <w:left w:val="nil"/>
              <w:bottom w:val="nil"/>
              <w:right w:val="single" w:color="008000" w:sz="8" w:space="0"/>
            </w:tcBorders>
            <w:shd w:val="clear" w:color="auto" w:fill="CCFFCC"/>
            <w:vAlign w:val="center"/>
          </w:tcPr>
          <w:p>
            <w:pPr>
              <w:rPr>
                <w:sz w:val="24"/>
              </w:rPr>
            </w:pPr>
            <w:r>
              <w:rPr>
                <w:sz w:val="24"/>
              </w:rPr>
              <w:t xml:space="preserve">          Enterprise bonds</w:t>
            </w:r>
          </w:p>
        </w:tc>
        <w:tc>
          <w:tcPr>
            <w:tcW w:w="1800" w:type="dxa"/>
            <w:tcBorders>
              <w:top w:val="nil"/>
              <w:left w:val="single" w:color="008000" w:sz="8" w:space="0"/>
              <w:bottom w:val="nil"/>
              <w:right w:val="single" w:color="008000" w:sz="2" w:space="0"/>
            </w:tcBorders>
            <w:shd w:val="clear" w:color="auto" w:fill="CCFFCC"/>
            <w:vAlign w:val="center"/>
          </w:tcPr>
          <w:p>
            <w:pPr>
              <w:adjustRightInd w:val="0"/>
              <w:snapToGrid w:val="0"/>
              <w:jc w:val="right"/>
              <w:rPr>
                <w:sz w:val="24"/>
              </w:rPr>
            </w:pPr>
            <w:r>
              <w:rPr>
                <w:sz w:val="24"/>
              </w:rPr>
              <w:t>1122</w:t>
            </w:r>
          </w:p>
        </w:tc>
        <w:tc>
          <w:tcPr>
            <w:tcW w:w="2340" w:type="dxa"/>
            <w:tcBorders>
              <w:top w:val="nil"/>
              <w:left w:val="single" w:color="008000" w:sz="2" w:space="0"/>
              <w:bottom w:val="nil"/>
              <w:right w:val="nil"/>
            </w:tcBorders>
            <w:shd w:val="clear" w:color="auto" w:fill="CCFFCC"/>
            <w:vAlign w:val="center"/>
          </w:tcPr>
          <w:p>
            <w:pPr>
              <w:adjustRightInd w:val="0"/>
              <w:snapToGrid w:val="0"/>
              <w:jc w:val="right"/>
              <w:rPr>
                <w:sz w:val="24"/>
              </w:rPr>
            </w:pPr>
            <w:r>
              <w:rPr>
                <w:sz w:val="24"/>
              </w:rPr>
              <w:t>5</w:t>
            </w:r>
            <w:r>
              <w:rPr>
                <w:rFonts w:hint="eastAsia"/>
                <w:sz w:val="24"/>
              </w:rPr>
              <w:t>2</w:t>
            </w:r>
            <w:r>
              <w:rPr>
                <w:sz w:val="24"/>
              </w:rPr>
              <w:t>9</w:t>
            </w:r>
          </w:p>
        </w:tc>
      </w:tr>
      <w:tr>
        <w:tblPrEx>
          <w:tblLayout w:type="fixed"/>
          <w:tblCellMar>
            <w:top w:w="0" w:type="dxa"/>
            <w:left w:w="0" w:type="dxa"/>
            <w:bottom w:w="0" w:type="dxa"/>
            <w:right w:w="0" w:type="dxa"/>
          </w:tblCellMar>
        </w:tblPrEx>
        <w:trPr>
          <w:trHeight w:val="300" w:hRule="atLeast"/>
        </w:trPr>
        <w:tc>
          <w:tcPr>
            <w:tcW w:w="4140" w:type="dxa"/>
            <w:tcBorders>
              <w:top w:val="nil"/>
              <w:left w:val="nil"/>
              <w:bottom w:val="nil"/>
              <w:right w:val="single" w:color="008000" w:sz="8" w:space="0"/>
            </w:tcBorders>
            <w:vAlign w:val="center"/>
          </w:tcPr>
          <w:p>
            <w:pPr>
              <w:ind w:firstLine="1200" w:firstLineChars="500"/>
              <w:rPr>
                <w:sz w:val="24"/>
              </w:rPr>
            </w:pPr>
            <w:r>
              <w:rPr>
                <w:sz w:val="24"/>
              </w:rPr>
              <w:t>Corporate bonds</w:t>
            </w:r>
          </w:p>
        </w:tc>
        <w:tc>
          <w:tcPr>
            <w:tcW w:w="1800" w:type="dxa"/>
            <w:tcBorders>
              <w:top w:val="nil"/>
              <w:left w:val="single" w:color="008000" w:sz="8" w:space="0"/>
              <w:bottom w:val="nil"/>
              <w:right w:val="single" w:color="008000" w:sz="2" w:space="0"/>
            </w:tcBorders>
            <w:vAlign w:val="center"/>
          </w:tcPr>
          <w:p>
            <w:pPr>
              <w:adjustRightInd w:val="0"/>
              <w:snapToGrid w:val="0"/>
              <w:jc w:val="right"/>
              <w:rPr>
                <w:sz w:val="24"/>
              </w:rPr>
            </w:pPr>
            <w:r>
              <w:rPr>
                <w:sz w:val="24"/>
              </w:rPr>
              <w:t>1,877</w:t>
            </w:r>
          </w:p>
        </w:tc>
        <w:tc>
          <w:tcPr>
            <w:tcW w:w="2340" w:type="dxa"/>
            <w:tcBorders>
              <w:top w:val="nil"/>
              <w:left w:val="single" w:color="008000" w:sz="2" w:space="0"/>
              <w:bottom w:val="nil"/>
              <w:right w:val="nil"/>
            </w:tcBorders>
            <w:vAlign w:val="center"/>
          </w:tcPr>
          <w:p>
            <w:pPr>
              <w:adjustRightInd w:val="0"/>
              <w:snapToGrid w:val="0"/>
              <w:jc w:val="right"/>
              <w:rPr>
                <w:sz w:val="24"/>
              </w:rPr>
            </w:pPr>
            <w:r>
              <w:rPr>
                <w:rFonts w:hint="eastAsia"/>
                <w:sz w:val="24"/>
              </w:rPr>
              <w:t>-</w:t>
            </w:r>
            <w:r>
              <w:rPr>
                <w:sz w:val="24"/>
              </w:rPr>
              <w:t>2</w:t>
            </w:r>
            <w:r>
              <w:rPr>
                <w:rFonts w:hint="eastAsia"/>
                <w:sz w:val="24"/>
              </w:rPr>
              <w:t>8</w:t>
            </w:r>
            <w:r>
              <w:rPr>
                <w:sz w:val="24"/>
              </w:rPr>
              <w:t>2</w:t>
            </w:r>
          </w:p>
        </w:tc>
      </w:tr>
      <w:tr>
        <w:tblPrEx>
          <w:tblLayout w:type="fixed"/>
          <w:tblCellMar>
            <w:top w:w="0" w:type="dxa"/>
            <w:left w:w="0" w:type="dxa"/>
            <w:bottom w:w="0" w:type="dxa"/>
            <w:right w:w="0" w:type="dxa"/>
          </w:tblCellMar>
        </w:tblPrEx>
        <w:trPr>
          <w:trHeight w:val="300" w:hRule="atLeast"/>
        </w:trPr>
        <w:tc>
          <w:tcPr>
            <w:tcW w:w="4140" w:type="dxa"/>
            <w:tcBorders>
              <w:top w:val="nil"/>
              <w:left w:val="nil"/>
              <w:bottom w:val="nil"/>
              <w:right w:val="single" w:color="008000" w:sz="8" w:space="0"/>
            </w:tcBorders>
            <w:vAlign w:val="center"/>
          </w:tcPr>
          <w:p>
            <w:pPr>
              <w:rPr>
                <w:sz w:val="24"/>
              </w:rPr>
            </w:pPr>
            <w:r>
              <w:rPr>
                <w:sz w:val="24"/>
              </w:rPr>
              <w:t>Bonds issued by international institutions</w:t>
            </w:r>
          </w:p>
        </w:tc>
        <w:tc>
          <w:tcPr>
            <w:tcW w:w="1800" w:type="dxa"/>
            <w:tcBorders>
              <w:top w:val="nil"/>
              <w:left w:val="single" w:color="008000" w:sz="8" w:space="0"/>
              <w:bottom w:val="nil"/>
              <w:right w:val="single" w:color="008000" w:sz="2" w:space="0"/>
            </w:tcBorders>
            <w:vAlign w:val="center"/>
          </w:tcPr>
          <w:p>
            <w:pPr>
              <w:adjustRightInd w:val="0"/>
              <w:snapToGrid w:val="0"/>
              <w:jc w:val="right"/>
              <w:rPr>
                <w:sz w:val="24"/>
              </w:rPr>
            </w:pPr>
            <w:r>
              <w:rPr>
                <w:sz w:val="24"/>
              </w:rPr>
              <w:t>212</w:t>
            </w:r>
          </w:p>
        </w:tc>
        <w:tc>
          <w:tcPr>
            <w:tcW w:w="2340" w:type="dxa"/>
            <w:tcBorders>
              <w:top w:val="nil"/>
              <w:left w:val="single" w:color="008000" w:sz="2" w:space="0"/>
              <w:bottom w:val="nil"/>
              <w:right w:val="nil"/>
            </w:tcBorders>
            <w:vAlign w:val="center"/>
          </w:tcPr>
          <w:p>
            <w:pPr>
              <w:adjustRightInd w:val="0"/>
              <w:snapToGrid w:val="0"/>
              <w:jc w:val="right"/>
              <w:rPr>
                <w:sz w:val="24"/>
              </w:rPr>
            </w:pPr>
            <w:r>
              <w:rPr>
                <w:sz w:val="24"/>
              </w:rPr>
              <w:t>1</w:t>
            </w:r>
            <w:r>
              <w:rPr>
                <w:rFonts w:hint="eastAsia"/>
                <w:sz w:val="24"/>
              </w:rPr>
              <w:t>4</w:t>
            </w:r>
            <w:r>
              <w:rPr>
                <w:sz w:val="24"/>
              </w:rPr>
              <w:t>2</w:t>
            </w:r>
          </w:p>
        </w:tc>
      </w:tr>
      <w:tr>
        <w:tblPrEx>
          <w:tblLayout w:type="fixed"/>
          <w:tblCellMar>
            <w:top w:w="0" w:type="dxa"/>
            <w:left w:w="0" w:type="dxa"/>
            <w:bottom w:w="0" w:type="dxa"/>
            <w:right w:w="0" w:type="dxa"/>
          </w:tblCellMar>
        </w:tblPrEx>
        <w:trPr>
          <w:trHeight w:val="300" w:hRule="atLeast"/>
        </w:trPr>
        <w:tc>
          <w:tcPr>
            <w:tcW w:w="4140" w:type="dxa"/>
            <w:tcBorders>
              <w:top w:val="nil"/>
              <w:left w:val="nil"/>
              <w:bottom w:val="single" w:color="008000" w:sz="12" w:space="0"/>
              <w:right w:val="single" w:color="008000" w:sz="8" w:space="0"/>
            </w:tcBorders>
            <w:shd w:val="clear" w:color="auto" w:fill="CCFFCC"/>
            <w:vAlign w:val="center"/>
          </w:tcPr>
          <w:p>
            <w:pPr>
              <w:rPr>
                <w:sz w:val="24"/>
              </w:rPr>
            </w:pPr>
            <w:r>
              <w:rPr>
                <w:sz w:val="24"/>
              </w:rPr>
              <w:t xml:space="preserve">Total </w:t>
            </w:r>
          </w:p>
        </w:tc>
        <w:tc>
          <w:tcPr>
            <w:tcW w:w="1800" w:type="dxa"/>
            <w:tcBorders>
              <w:top w:val="nil"/>
              <w:left w:val="nil"/>
              <w:bottom w:val="single" w:color="008000" w:sz="12" w:space="0"/>
              <w:right w:val="single" w:color="008000" w:sz="2" w:space="0"/>
            </w:tcBorders>
            <w:shd w:val="clear" w:color="auto" w:fill="CCFFCC"/>
            <w:vAlign w:val="center"/>
          </w:tcPr>
          <w:p>
            <w:pPr>
              <w:adjustRightInd w:val="0"/>
              <w:snapToGrid w:val="0"/>
              <w:jc w:val="right"/>
              <w:rPr>
                <w:sz w:val="24"/>
              </w:rPr>
            </w:pPr>
            <w:r>
              <w:rPr>
                <w:rFonts w:hint="eastAsia"/>
                <w:sz w:val="24"/>
              </w:rPr>
              <w:t>8</w:t>
            </w:r>
            <w:r>
              <w:rPr>
                <w:sz w:val="24"/>
              </w:rPr>
              <w:t>8,59</w:t>
            </w:r>
            <w:r>
              <w:rPr>
                <w:rFonts w:hint="eastAsia"/>
                <w:sz w:val="24"/>
              </w:rPr>
              <w:t>3</w:t>
            </w:r>
          </w:p>
        </w:tc>
        <w:tc>
          <w:tcPr>
            <w:tcW w:w="2340" w:type="dxa"/>
            <w:tcBorders>
              <w:top w:val="nil"/>
              <w:left w:val="single" w:color="008000" w:sz="2" w:space="0"/>
              <w:bottom w:val="single" w:color="008000" w:sz="12" w:space="0"/>
              <w:right w:val="nil"/>
            </w:tcBorders>
            <w:shd w:val="clear" w:color="auto" w:fill="CCFFCC"/>
            <w:vAlign w:val="center"/>
          </w:tcPr>
          <w:p>
            <w:pPr>
              <w:adjustRightInd w:val="0"/>
              <w:snapToGrid w:val="0"/>
              <w:jc w:val="right"/>
              <w:rPr>
                <w:sz w:val="24"/>
              </w:rPr>
            </w:pPr>
            <w:r>
              <w:rPr>
                <w:rFonts w:hint="eastAsia"/>
                <w:sz w:val="24"/>
              </w:rPr>
              <w:t>5</w:t>
            </w:r>
            <w:r>
              <w:rPr>
                <w:sz w:val="24"/>
              </w:rPr>
              <w:t>,065</w:t>
            </w:r>
          </w:p>
        </w:tc>
      </w:tr>
    </w:tbl>
    <w:p>
      <w:pPr>
        <w:adjustRightInd w:val="0"/>
        <w:snapToGrid w:val="0"/>
        <w:rPr>
          <w:rFonts w:eastAsia="楷体_GB2312"/>
          <w:sz w:val="24"/>
        </w:rPr>
      </w:pPr>
      <w:r>
        <w:rPr>
          <w:rFonts w:eastAsia="楷体_GB2312"/>
          <w:sz w:val="24"/>
        </w:rPr>
        <w:t xml:space="preserve">Notes: </w:t>
      </w:r>
      <w:r>
        <w:rPr>
          <w:rFonts w:hint="eastAsia" w:ascii="宋体" w:hAnsi="宋体" w:cs="宋体"/>
          <w:sz w:val="24"/>
        </w:rPr>
        <w:t>①</w:t>
      </w:r>
      <w:r>
        <w:rPr>
          <w:rFonts w:eastAsia="楷体_GB2312"/>
          <w:sz w:val="24"/>
        </w:rPr>
        <w:t xml:space="preserve"> Including financial bonds issued by the China Development Bank, policy financial bonds, ordinary bonds</w:t>
      </w:r>
      <w:r>
        <w:rPr>
          <w:rFonts w:hint="eastAsia" w:eastAsia="楷体_GB2312"/>
          <w:sz w:val="24"/>
        </w:rPr>
        <w:t>,</w:t>
      </w:r>
      <w:r>
        <w:rPr>
          <w:rFonts w:eastAsia="楷体_GB2312"/>
          <w:sz w:val="24"/>
        </w:rPr>
        <w:t xml:space="preserve"> subordinated bonds </w:t>
      </w:r>
      <w:r>
        <w:rPr>
          <w:rFonts w:hint="eastAsia" w:eastAsia="楷体_GB2312"/>
          <w:sz w:val="24"/>
        </w:rPr>
        <w:t xml:space="preserve">and </w:t>
      </w:r>
      <w:r>
        <w:rPr>
          <w:rFonts w:eastAsia="楷体_GB2312"/>
          <w:sz w:val="24"/>
        </w:rPr>
        <w:t xml:space="preserve">hybrid bonds issued by commercial banks,  bonds issued by securities firms, </w:t>
      </w:r>
      <w:r>
        <w:rPr>
          <w:sz w:val="24"/>
        </w:rPr>
        <w:t xml:space="preserve">inter-bank certificates of deposits, and </w:t>
      </w:r>
      <w:r>
        <w:rPr>
          <w:rFonts w:eastAsia="楷体_GB2312"/>
          <w:sz w:val="24"/>
        </w:rPr>
        <w:t xml:space="preserve">so forth. </w:t>
      </w:r>
    </w:p>
    <w:p>
      <w:pPr>
        <w:adjustRightInd w:val="0"/>
        <w:snapToGrid w:val="0"/>
        <w:rPr>
          <w:rFonts w:eastAsia="楷体_GB2312"/>
          <w:sz w:val="24"/>
        </w:rPr>
      </w:pPr>
      <w:r>
        <w:rPr>
          <w:rFonts w:hint="eastAsia" w:ascii="宋体" w:hAnsi="宋体" w:cs="宋体"/>
          <w:sz w:val="24"/>
        </w:rPr>
        <w:t>②</w:t>
      </w:r>
      <w:r>
        <w:rPr>
          <w:rFonts w:eastAsia="楷体_GB2312"/>
          <w:sz w:val="24"/>
        </w:rPr>
        <w:t xml:space="preserve"> Including debt-financing instruments issued by non-financial enterprises, enterprise bonds, corporate bonds, convertible bonds, bonds with detachable warrants, privately-placed SME bonds, and so forth. </w:t>
      </w:r>
    </w:p>
    <w:p>
      <w:pPr>
        <w:autoSpaceDE w:val="0"/>
        <w:autoSpaceDN w:val="0"/>
        <w:adjustRightInd w:val="0"/>
        <w:snapToGrid w:val="0"/>
        <w:rPr>
          <w:rFonts w:ascii="Times" w:hAnsi="Times"/>
          <w:sz w:val="24"/>
        </w:rPr>
      </w:pPr>
      <w:r>
        <w:rPr>
          <w:rFonts w:ascii="Times" w:hAnsi="Times" w:eastAsia="楷体_GB2312"/>
          <w:sz w:val="24"/>
        </w:rPr>
        <w:t>Sources: People’s Bank of China, the National Development and Reform Commission, the China Securities Regulatory Commission, and the China Central Clearing Co., Ltd.</w:t>
      </w:r>
    </w:p>
    <w:p>
      <w:pPr>
        <w:tabs>
          <w:tab w:val="left" w:pos="5580"/>
        </w:tabs>
        <w:autoSpaceDN w:val="0"/>
        <w:rPr>
          <w:bCs/>
          <w:sz w:val="24"/>
        </w:rPr>
      </w:pPr>
    </w:p>
    <w:p>
      <w:pPr>
        <w:rPr>
          <w:b/>
          <w:sz w:val="24"/>
        </w:rPr>
      </w:pPr>
      <w:bookmarkStart w:id="104" w:name="_Toc484425032"/>
      <w:bookmarkStart w:id="105" w:name="_Toc484424777"/>
      <w:r>
        <w:rPr>
          <w:rFonts w:eastAsia="仿宋_GB2312"/>
          <w:b/>
          <w:bCs/>
          <w:sz w:val="24"/>
        </w:rPr>
        <w:t xml:space="preserve">3. </w:t>
      </w:r>
      <w:r>
        <w:rPr>
          <w:b/>
          <w:sz w:val="24"/>
        </w:rPr>
        <w:t>The volume of bill acceptances and bill financing declined moderately and interest rates fluctuated.</w:t>
      </w:r>
    </w:p>
    <w:p>
      <w:pPr>
        <w:autoSpaceDE w:val="0"/>
        <w:autoSpaceDN w:val="0"/>
        <w:adjustRightInd w:val="0"/>
        <w:rPr>
          <w:kern w:val="0"/>
          <w:sz w:val="24"/>
        </w:rPr>
      </w:pPr>
      <w:r>
        <w:rPr>
          <w:b/>
          <w:kern w:val="0"/>
          <w:sz w:val="24"/>
        </w:rPr>
        <w:t>The bill acceptance business</w:t>
      </w:r>
      <w:r>
        <w:rPr>
          <w:rFonts w:hint="eastAsia"/>
          <w:b/>
          <w:kern w:val="0"/>
          <w:sz w:val="24"/>
        </w:rPr>
        <w:t xml:space="preserve"> contracted</w:t>
      </w:r>
      <w:r>
        <w:rPr>
          <w:b/>
          <w:kern w:val="0"/>
          <w:sz w:val="24"/>
        </w:rPr>
        <w:t xml:space="preserve"> further</w:t>
      </w:r>
      <w:r>
        <w:rPr>
          <w:kern w:val="0"/>
          <w:sz w:val="24"/>
        </w:rPr>
        <w:t xml:space="preserve">. </w:t>
      </w:r>
      <w:r>
        <w:rPr>
          <w:rFonts w:hint="eastAsia"/>
          <w:kern w:val="0"/>
          <w:sz w:val="24"/>
        </w:rPr>
        <w:t xml:space="preserve">In </w:t>
      </w:r>
      <w:r>
        <w:rPr>
          <w:kern w:val="0"/>
          <w:sz w:val="24"/>
        </w:rPr>
        <w:t xml:space="preserve">Q1, commercial bills issued by enterprises totaled RMB </w:t>
      </w:r>
      <w:r>
        <w:rPr>
          <w:rFonts w:hint="eastAsia"/>
          <w:kern w:val="0"/>
          <w:sz w:val="24"/>
        </w:rPr>
        <w:t>4.0</w:t>
      </w:r>
      <w:r>
        <w:rPr>
          <w:kern w:val="0"/>
          <w:sz w:val="24"/>
        </w:rPr>
        <w:t xml:space="preserve"> trillion, a decrease of 27.4 percent year on year. At end-March, outstanding commercial bills posted RMB 8.</w:t>
      </w:r>
      <w:r>
        <w:rPr>
          <w:rFonts w:hint="eastAsia"/>
          <w:kern w:val="0"/>
          <w:sz w:val="24"/>
        </w:rPr>
        <w:t>5</w:t>
      </w:r>
      <w:r>
        <w:rPr>
          <w:kern w:val="0"/>
          <w:sz w:val="24"/>
        </w:rPr>
        <w:t xml:space="preserve"> trillion, a decline of 3.9</w:t>
      </w:r>
      <w:r>
        <w:rPr>
          <w:rFonts w:hint="eastAsia"/>
          <w:kern w:val="0"/>
          <w:sz w:val="24"/>
        </w:rPr>
        <w:t xml:space="preserve"> </w:t>
      </w:r>
      <w:r>
        <w:rPr>
          <w:kern w:val="0"/>
          <w:sz w:val="24"/>
        </w:rPr>
        <w:t xml:space="preserve">percent year on year. The </w:t>
      </w:r>
      <w:r>
        <w:rPr>
          <w:rFonts w:hint="eastAsia"/>
          <w:kern w:val="0"/>
          <w:sz w:val="24"/>
        </w:rPr>
        <w:t>outstanding</w:t>
      </w:r>
      <w:r>
        <w:rPr>
          <w:kern w:val="0"/>
          <w:sz w:val="24"/>
        </w:rPr>
        <w:t xml:space="preserve"> </w:t>
      </w:r>
      <w:r>
        <w:rPr>
          <w:rFonts w:hint="eastAsia"/>
          <w:kern w:val="0"/>
          <w:sz w:val="24"/>
        </w:rPr>
        <w:t xml:space="preserve">volume of </w:t>
      </w:r>
      <w:r>
        <w:rPr>
          <w:kern w:val="0"/>
          <w:sz w:val="24"/>
        </w:rPr>
        <w:t>bill acceptances</w:t>
      </w:r>
      <w:r>
        <w:rPr>
          <w:rFonts w:hint="eastAsia"/>
          <w:kern w:val="0"/>
          <w:sz w:val="24"/>
        </w:rPr>
        <w:t xml:space="preserve"> declined </w:t>
      </w:r>
      <w:r>
        <w:rPr>
          <w:kern w:val="0"/>
          <w:sz w:val="24"/>
        </w:rPr>
        <w:t>month</w:t>
      </w:r>
      <w:r>
        <w:rPr>
          <w:rFonts w:hint="eastAsia"/>
          <w:kern w:val="0"/>
          <w:sz w:val="24"/>
        </w:rPr>
        <w:t xml:space="preserve"> after </w:t>
      </w:r>
      <w:r>
        <w:rPr>
          <w:kern w:val="0"/>
          <w:sz w:val="24"/>
        </w:rPr>
        <w:t>month</w:t>
      </w:r>
      <w:r>
        <w:rPr>
          <w:rFonts w:hint="eastAsia"/>
          <w:kern w:val="0"/>
          <w:sz w:val="24"/>
        </w:rPr>
        <w:t>, and at end-</w:t>
      </w:r>
      <w:r>
        <w:rPr>
          <w:kern w:val="0"/>
          <w:sz w:val="24"/>
        </w:rPr>
        <w:t>March their outstanding volume had fallen</w:t>
      </w:r>
      <w:r>
        <w:rPr>
          <w:rFonts w:hint="eastAsia"/>
          <w:kern w:val="0"/>
          <w:sz w:val="24"/>
        </w:rPr>
        <w:t xml:space="preserve"> RMB 327.8 billion from </w:t>
      </w:r>
      <w:r>
        <w:rPr>
          <w:kern w:val="0"/>
          <w:sz w:val="24"/>
        </w:rPr>
        <w:t xml:space="preserve">the beginning of 2018. In terms of </w:t>
      </w:r>
      <w:r>
        <w:rPr>
          <w:rFonts w:hint="eastAsia"/>
          <w:kern w:val="0"/>
          <w:sz w:val="24"/>
        </w:rPr>
        <w:t>issuers</w:t>
      </w:r>
      <w:r>
        <w:rPr>
          <w:kern w:val="0"/>
          <w:sz w:val="24"/>
        </w:rPr>
        <w:t>, outstanding bankers’ acceptances were mainly issued by enterprises in the manufacturing, wholesale, and retail industries</w:t>
      </w:r>
      <w:r>
        <w:rPr>
          <w:rFonts w:hint="eastAsia"/>
          <w:kern w:val="0"/>
          <w:sz w:val="24"/>
        </w:rPr>
        <w:t xml:space="preserve">, with </w:t>
      </w:r>
      <w:r>
        <w:rPr>
          <w:kern w:val="0"/>
          <w:sz w:val="24"/>
        </w:rPr>
        <w:t>small- and medium-sized enterprises issu</w:t>
      </w:r>
      <w:r>
        <w:rPr>
          <w:rFonts w:hint="eastAsia"/>
          <w:kern w:val="0"/>
          <w:sz w:val="24"/>
        </w:rPr>
        <w:t>ing</w:t>
      </w:r>
      <w:r>
        <w:rPr>
          <w:kern w:val="0"/>
          <w:sz w:val="24"/>
        </w:rPr>
        <w:t xml:space="preserve"> about two-thirds of the total.</w:t>
      </w:r>
    </w:p>
    <w:bookmarkEnd w:id="104"/>
    <w:bookmarkEnd w:id="105"/>
    <w:p>
      <w:pPr>
        <w:rPr>
          <w:sz w:val="24"/>
        </w:rPr>
      </w:pPr>
    </w:p>
    <w:p>
      <w:pPr>
        <w:autoSpaceDE w:val="0"/>
        <w:autoSpaceDN w:val="0"/>
        <w:adjustRightInd w:val="0"/>
        <w:rPr>
          <w:kern w:val="0"/>
          <w:sz w:val="24"/>
        </w:rPr>
      </w:pPr>
      <w:r>
        <w:rPr>
          <w:b/>
          <w:kern w:val="0"/>
          <w:sz w:val="24"/>
        </w:rPr>
        <w:t xml:space="preserve">The outstanding volume of bill financing </w:t>
      </w:r>
      <w:r>
        <w:rPr>
          <w:rFonts w:hint="eastAsia"/>
          <w:b/>
          <w:kern w:val="0"/>
          <w:sz w:val="24"/>
        </w:rPr>
        <w:t>declined,</w:t>
      </w:r>
      <w:r>
        <w:rPr>
          <w:b/>
          <w:kern w:val="0"/>
          <w:sz w:val="24"/>
        </w:rPr>
        <w:t xml:space="preserve"> </w:t>
      </w:r>
      <w:r>
        <w:rPr>
          <w:rFonts w:hint="eastAsia"/>
          <w:b/>
          <w:kern w:val="0"/>
          <w:sz w:val="24"/>
        </w:rPr>
        <w:t>wh</w:t>
      </w:r>
      <w:r>
        <w:rPr>
          <w:b/>
          <w:kern w:val="0"/>
          <w:sz w:val="24"/>
        </w:rPr>
        <w:t>ereas bill market interest rates rose slightly.</w:t>
      </w:r>
      <w:r>
        <w:rPr>
          <w:kern w:val="0"/>
          <w:sz w:val="24"/>
        </w:rPr>
        <w:t xml:space="preserve"> </w:t>
      </w:r>
      <w:r>
        <w:rPr>
          <w:rFonts w:hint="eastAsia"/>
          <w:kern w:val="0"/>
          <w:sz w:val="24"/>
        </w:rPr>
        <w:t>In</w:t>
      </w:r>
      <w:r>
        <w:rPr>
          <w:kern w:val="0"/>
          <w:sz w:val="24"/>
        </w:rPr>
        <w:t xml:space="preserve"> Q1, financial institutions discounted a total of RMB 7.1 trillion of commercial bills, a decline of 41.5 percent year on year. At end-March, the outstanding balance of bill discounts stood at RMB 3.</w:t>
      </w:r>
      <w:r>
        <w:rPr>
          <w:rFonts w:hint="eastAsia"/>
          <w:kern w:val="0"/>
          <w:sz w:val="24"/>
        </w:rPr>
        <w:t>8</w:t>
      </w:r>
      <w:r>
        <w:rPr>
          <w:kern w:val="0"/>
          <w:sz w:val="24"/>
        </w:rPr>
        <w:t xml:space="preserve"> trillion, down 12.7 percent year on year. The balance of outstanding bill financing fell moderately and by</w:t>
      </w:r>
      <w:r>
        <w:rPr>
          <w:rFonts w:hint="eastAsia"/>
          <w:kern w:val="0"/>
          <w:sz w:val="24"/>
        </w:rPr>
        <w:t xml:space="preserve"> end-</w:t>
      </w:r>
      <w:r>
        <w:rPr>
          <w:kern w:val="0"/>
          <w:sz w:val="24"/>
        </w:rPr>
        <w:t>March</w:t>
      </w:r>
      <w:r>
        <w:rPr>
          <w:rFonts w:hint="eastAsia"/>
          <w:kern w:val="0"/>
          <w:sz w:val="24"/>
        </w:rPr>
        <w:t xml:space="preserve"> the balance </w:t>
      </w:r>
      <w:r>
        <w:rPr>
          <w:kern w:val="0"/>
          <w:sz w:val="24"/>
        </w:rPr>
        <w:t>had de</w:t>
      </w:r>
      <w:r>
        <w:rPr>
          <w:rFonts w:hint="eastAsia"/>
          <w:kern w:val="0"/>
          <w:sz w:val="24"/>
        </w:rPr>
        <w:t xml:space="preserve">creased by RMB </w:t>
      </w:r>
      <w:r>
        <w:rPr>
          <w:kern w:val="0"/>
          <w:sz w:val="24"/>
        </w:rPr>
        <w:t>56</w:t>
      </w:r>
      <w:r>
        <w:rPr>
          <w:rFonts w:hint="eastAsia"/>
          <w:kern w:val="0"/>
          <w:sz w:val="24"/>
        </w:rPr>
        <w:t xml:space="preserve"> billion from</w:t>
      </w:r>
      <w:r>
        <w:rPr>
          <w:kern w:val="0"/>
          <w:sz w:val="24"/>
        </w:rPr>
        <w:t xml:space="preserve"> the beginning of 2018.</w:t>
      </w:r>
      <w:r>
        <w:rPr>
          <w:rFonts w:hint="eastAsia"/>
          <w:kern w:val="0"/>
          <w:sz w:val="24"/>
        </w:rPr>
        <w:t xml:space="preserve"> </w:t>
      </w:r>
      <w:r>
        <w:rPr>
          <w:kern w:val="0"/>
          <w:sz w:val="24"/>
        </w:rPr>
        <w:t xml:space="preserve">The share of outstanding bill financing </w:t>
      </w:r>
      <w:r>
        <w:rPr>
          <w:rFonts w:hint="eastAsia"/>
          <w:kern w:val="0"/>
          <w:sz w:val="24"/>
        </w:rPr>
        <w:t>in</w:t>
      </w:r>
      <w:r>
        <w:rPr>
          <w:kern w:val="0"/>
          <w:sz w:val="24"/>
        </w:rPr>
        <w:t xml:space="preserve"> total outstanding loans was 3.1 percent, a decrease of </w:t>
      </w:r>
      <w:r>
        <w:rPr>
          <w:rFonts w:hint="eastAsia"/>
          <w:kern w:val="0"/>
          <w:sz w:val="24"/>
        </w:rPr>
        <w:t>0.9</w:t>
      </w:r>
      <w:r>
        <w:rPr>
          <w:kern w:val="0"/>
          <w:sz w:val="24"/>
        </w:rPr>
        <w:t xml:space="preserve"> percentage point year on year. In Q1</w:t>
      </w:r>
      <w:r>
        <w:rPr>
          <w:rFonts w:hint="eastAsia"/>
          <w:kern w:val="0"/>
          <w:sz w:val="24"/>
        </w:rPr>
        <w:t xml:space="preserve">, </w:t>
      </w:r>
      <w:r>
        <w:rPr>
          <w:kern w:val="0"/>
          <w:sz w:val="24"/>
        </w:rPr>
        <w:t xml:space="preserve">liquidity </w:t>
      </w:r>
      <w:r>
        <w:rPr>
          <w:rFonts w:hint="eastAsia"/>
          <w:kern w:val="0"/>
          <w:sz w:val="24"/>
        </w:rPr>
        <w:t>in</w:t>
      </w:r>
      <w:r>
        <w:rPr>
          <w:kern w:val="0"/>
          <w:sz w:val="24"/>
        </w:rPr>
        <w:t xml:space="preserve"> the banking system was </w:t>
      </w:r>
      <w:r>
        <w:rPr>
          <w:rFonts w:hint="eastAsia"/>
          <w:kern w:val="0"/>
          <w:sz w:val="24"/>
        </w:rPr>
        <w:t>adequate</w:t>
      </w:r>
      <w:r>
        <w:rPr>
          <w:kern w:val="0"/>
          <w:sz w:val="24"/>
        </w:rPr>
        <w:t xml:space="preserve"> and stable. Excluding the Spring Festival seasonal factor, as supply and demand of the bill market was fairly balanced, the bill market interest rates rose slightly</w:t>
      </w:r>
      <w:r>
        <w:rPr>
          <w:rFonts w:hint="eastAsia"/>
          <w:kern w:val="0"/>
          <w:sz w:val="24"/>
        </w:rPr>
        <w:t xml:space="preserve">. </w:t>
      </w:r>
    </w:p>
    <w:p>
      <w:pPr>
        <w:tabs>
          <w:tab w:val="left" w:pos="5580"/>
        </w:tabs>
        <w:autoSpaceDN w:val="0"/>
        <w:rPr>
          <w:bCs/>
          <w:sz w:val="24"/>
        </w:rPr>
      </w:pPr>
    </w:p>
    <w:p>
      <w:pPr>
        <w:rPr>
          <w:b/>
          <w:sz w:val="24"/>
        </w:rPr>
      </w:pPr>
      <w:r>
        <w:rPr>
          <w:b/>
          <w:sz w:val="24"/>
        </w:rPr>
        <w:t>4. The stock indices fell, the trading volume increased,</w:t>
      </w:r>
      <w:r>
        <w:rPr>
          <w:rFonts w:hint="eastAsia"/>
          <w:b/>
          <w:sz w:val="24"/>
        </w:rPr>
        <w:t xml:space="preserve"> </w:t>
      </w:r>
      <w:r>
        <w:rPr>
          <w:b/>
          <w:sz w:val="24"/>
        </w:rPr>
        <w:t>and the</w:t>
      </w:r>
      <w:r>
        <w:rPr>
          <w:rFonts w:hint="eastAsia"/>
          <w:b/>
          <w:sz w:val="24"/>
        </w:rPr>
        <w:t xml:space="preserve"> </w:t>
      </w:r>
      <w:r>
        <w:rPr>
          <w:b/>
          <w:sz w:val="24"/>
        </w:rPr>
        <w:t>amount of equity financing decline</w:t>
      </w:r>
      <w:r>
        <w:rPr>
          <w:rFonts w:hint="eastAsia"/>
          <w:b/>
          <w:sz w:val="24"/>
        </w:rPr>
        <w:t>d</w:t>
      </w:r>
      <w:r>
        <w:rPr>
          <w:b/>
          <w:sz w:val="24"/>
        </w:rPr>
        <w:t xml:space="preserve"> year on year</w:t>
      </w:r>
    </w:p>
    <w:p>
      <w:pPr>
        <w:autoSpaceDE w:val="0"/>
        <w:autoSpaceDN w:val="0"/>
        <w:adjustRightInd w:val="0"/>
        <w:rPr>
          <w:kern w:val="0"/>
          <w:sz w:val="24"/>
        </w:rPr>
      </w:pPr>
      <w:r>
        <w:rPr>
          <w:b/>
          <w:kern w:val="0"/>
          <w:sz w:val="24"/>
        </w:rPr>
        <w:t xml:space="preserve">Impacted by factors such as trade frictions and </w:t>
      </w:r>
      <w:r>
        <w:rPr>
          <w:rFonts w:hint="eastAsia"/>
          <w:b/>
          <w:kern w:val="0"/>
          <w:sz w:val="24"/>
        </w:rPr>
        <w:t>volatility</w:t>
      </w:r>
      <w:r>
        <w:rPr>
          <w:b/>
          <w:kern w:val="0"/>
          <w:sz w:val="24"/>
        </w:rPr>
        <w:t xml:space="preserve"> in international stock markets, stock indices fluctuated </w:t>
      </w:r>
      <w:r>
        <w:rPr>
          <w:rFonts w:hint="eastAsia"/>
          <w:b/>
          <w:kern w:val="0"/>
          <w:sz w:val="24"/>
        </w:rPr>
        <w:t>moderately</w:t>
      </w:r>
      <w:r>
        <w:rPr>
          <w:b/>
          <w:kern w:val="0"/>
          <w:sz w:val="24"/>
        </w:rPr>
        <w:t>,</w:t>
      </w:r>
      <w:r>
        <w:rPr>
          <w:rFonts w:hint="eastAsia"/>
          <w:b/>
          <w:kern w:val="0"/>
          <w:sz w:val="24"/>
        </w:rPr>
        <w:t xml:space="preserve"> </w:t>
      </w:r>
      <w:r>
        <w:rPr>
          <w:b/>
          <w:kern w:val="0"/>
          <w:sz w:val="24"/>
        </w:rPr>
        <w:t xml:space="preserve">and as a whole decreased. </w:t>
      </w:r>
      <w:r>
        <w:rPr>
          <w:rFonts w:hint="eastAsia"/>
          <w:kern w:val="0"/>
          <w:sz w:val="24"/>
        </w:rPr>
        <w:t>At end-March, t</w:t>
      </w:r>
      <w:r>
        <w:rPr>
          <w:kern w:val="0"/>
          <w:sz w:val="24"/>
        </w:rPr>
        <w:t>he Shanghai Stock Exchange Composite Index closed at 3,169 points</w:t>
      </w:r>
      <w:r>
        <w:rPr>
          <w:rFonts w:hint="eastAsia"/>
          <w:kern w:val="0"/>
          <w:sz w:val="24"/>
        </w:rPr>
        <w:t>,</w:t>
      </w:r>
      <w:r>
        <w:rPr>
          <w:kern w:val="0"/>
          <w:sz w:val="24"/>
        </w:rPr>
        <w:t xml:space="preserve"> down 4.2 percent from end-</w:t>
      </w:r>
      <w:r>
        <w:rPr>
          <w:rFonts w:hint="eastAsia"/>
          <w:kern w:val="0"/>
          <w:sz w:val="24"/>
        </w:rPr>
        <w:t>201</w:t>
      </w:r>
      <w:r>
        <w:rPr>
          <w:kern w:val="0"/>
          <w:sz w:val="24"/>
        </w:rPr>
        <w:t>7. The Shenzhen Stock Exchange Component Index closed at 10,869 points, down 1.6 percent from end-</w:t>
      </w:r>
      <w:r>
        <w:rPr>
          <w:rFonts w:hint="eastAsia"/>
          <w:kern w:val="0"/>
          <w:sz w:val="24"/>
        </w:rPr>
        <w:t>20</w:t>
      </w:r>
      <w:r>
        <w:rPr>
          <w:kern w:val="0"/>
          <w:sz w:val="24"/>
        </w:rPr>
        <w:t xml:space="preserve">17. </w:t>
      </w:r>
      <w:r>
        <w:rPr>
          <w:rFonts w:hint="eastAsia"/>
          <w:kern w:val="0"/>
          <w:sz w:val="24"/>
        </w:rPr>
        <w:t xml:space="preserve">Buoyed </w:t>
      </w:r>
      <w:r>
        <w:rPr>
          <w:kern w:val="0"/>
          <w:sz w:val="24"/>
        </w:rPr>
        <w:t>by the government’s support for innovation-driven development, the Growth Enterprise Board (GEM Board) Index (Chinext Price Index) closed at 1,900 points,</w:t>
      </w:r>
      <w:r>
        <w:rPr>
          <w:rFonts w:hint="eastAsia"/>
          <w:kern w:val="0"/>
          <w:sz w:val="24"/>
        </w:rPr>
        <w:t xml:space="preserve"> </w:t>
      </w:r>
      <w:r>
        <w:rPr>
          <w:kern w:val="0"/>
          <w:sz w:val="24"/>
        </w:rPr>
        <w:t>up 8.4 percent from end-</w:t>
      </w:r>
      <w:r>
        <w:rPr>
          <w:rFonts w:hint="eastAsia"/>
          <w:kern w:val="0"/>
          <w:sz w:val="24"/>
        </w:rPr>
        <w:t>2017.</w:t>
      </w:r>
      <w:r>
        <w:rPr>
          <w:kern w:val="0"/>
          <w:sz w:val="24"/>
        </w:rPr>
        <w:t xml:space="preserve"> At end-</w:t>
      </w:r>
      <w:r>
        <w:rPr>
          <w:rFonts w:hint="eastAsia"/>
          <w:kern w:val="0"/>
          <w:sz w:val="24"/>
        </w:rPr>
        <w:t>March</w:t>
      </w:r>
      <w:r>
        <w:rPr>
          <w:kern w:val="0"/>
          <w:sz w:val="24"/>
        </w:rPr>
        <w:t>, the weighted average P/E ratio of A-share</w:t>
      </w:r>
      <w:r>
        <w:rPr>
          <w:rFonts w:hint="eastAsia"/>
          <w:kern w:val="0"/>
          <w:sz w:val="24"/>
        </w:rPr>
        <w:t xml:space="preserve">s </w:t>
      </w:r>
      <w:r>
        <w:rPr>
          <w:kern w:val="0"/>
          <w:sz w:val="24"/>
        </w:rPr>
        <w:t>on the Shanghai Stock Exchange fell from</w:t>
      </w:r>
      <w:r>
        <w:rPr>
          <w:rFonts w:hint="eastAsia"/>
          <w:kern w:val="0"/>
          <w:sz w:val="24"/>
        </w:rPr>
        <w:t xml:space="preserve"> 1</w:t>
      </w:r>
      <w:r>
        <w:rPr>
          <w:kern w:val="0"/>
          <w:sz w:val="24"/>
        </w:rPr>
        <w:t>8.2</w:t>
      </w:r>
      <w:r>
        <w:rPr>
          <w:rFonts w:hint="eastAsia"/>
          <w:kern w:val="0"/>
          <w:sz w:val="24"/>
        </w:rPr>
        <w:t xml:space="preserve"> </w:t>
      </w:r>
      <w:r>
        <w:rPr>
          <w:kern w:val="0"/>
          <w:sz w:val="24"/>
        </w:rPr>
        <w:t xml:space="preserve">times at end-2017 to 17.8 times, whereas that on the Shenzhen Stock Exchange </w:t>
      </w:r>
      <w:r>
        <w:rPr>
          <w:rFonts w:hint="eastAsia"/>
          <w:kern w:val="0"/>
          <w:sz w:val="24"/>
        </w:rPr>
        <w:t>de</w:t>
      </w:r>
      <w:r>
        <w:rPr>
          <w:kern w:val="0"/>
          <w:sz w:val="24"/>
        </w:rPr>
        <w:t>creased from 36.5 times at end-</w:t>
      </w:r>
      <w:r>
        <w:rPr>
          <w:rFonts w:hint="eastAsia"/>
          <w:kern w:val="0"/>
          <w:sz w:val="24"/>
        </w:rPr>
        <w:t>201</w:t>
      </w:r>
      <w:r>
        <w:rPr>
          <w:kern w:val="0"/>
          <w:sz w:val="24"/>
        </w:rPr>
        <w:t>7 to 33.2 times. Turnover on the stock markets increased.</w:t>
      </w:r>
      <w:r>
        <w:rPr>
          <w:rFonts w:hint="eastAsia"/>
          <w:kern w:val="0"/>
          <w:sz w:val="24"/>
        </w:rPr>
        <w:t xml:space="preserve"> In </w:t>
      </w:r>
      <w:r>
        <w:rPr>
          <w:kern w:val="0"/>
          <w:sz w:val="24"/>
        </w:rPr>
        <w:t xml:space="preserve">Q1, the combined turnover of the Shanghai and Shenzhen Stock Exchanges </w:t>
      </w:r>
      <w:r>
        <w:rPr>
          <w:rFonts w:hint="eastAsia"/>
          <w:kern w:val="0"/>
          <w:sz w:val="24"/>
        </w:rPr>
        <w:t>reached</w:t>
      </w:r>
      <w:r>
        <w:rPr>
          <w:kern w:val="0"/>
          <w:sz w:val="24"/>
        </w:rPr>
        <w:t xml:space="preserve"> RMB 28.3 trillion and the average daily turnover was RMB 479.0 billion, an increase of 6.9 percent year on year. Turnover on the GEM Board totaled RMB 4.3</w:t>
      </w:r>
      <w:r>
        <w:rPr>
          <w:rFonts w:hint="eastAsia"/>
          <w:kern w:val="0"/>
          <w:sz w:val="24"/>
        </w:rPr>
        <w:t xml:space="preserve"> </w:t>
      </w:r>
      <w:r>
        <w:rPr>
          <w:kern w:val="0"/>
          <w:sz w:val="24"/>
        </w:rPr>
        <w:t>trillion, an increase of 6.8 percent year on year. At end-March, the combined market capitalization of the Shanghai and Shenzhen Exchanges posted RMB 44.5 trillion, an increase of 7.4 percent year on year. The market capitalization of tradable</w:t>
      </w:r>
      <w:r>
        <w:rPr>
          <w:rFonts w:hint="eastAsia"/>
          <w:kern w:val="0"/>
          <w:sz w:val="24"/>
        </w:rPr>
        <w:t xml:space="preserve"> shares on </w:t>
      </w:r>
      <w:r>
        <w:rPr>
          <w:kern w:val="0"/>
          <w:sz w:val="24"/>
        </w:rPr>
        <w:t xml:space="preserve">the GEM Board posted RMB 3.3 trillion, an increase of 4.3 percent year on year. </w:t>
      </w:r>
    </w:p>
    <w:p>
      <w:pPr>
        <w:autoSpaceDE w:val="0"/>
        <w:autoSpaceDN w:val="0"/>
        <w:adjustRightInd w:val="0"/>
        <w:rPr>
          <w:rFonts w:eastAsia="仿宋_GB2312"/>
          <w:sz w:val="24"/>
        </w:rPr>
      </w:pPr>
    </w:p>
    <w:p>
      <w:pPr>
        <w:autoSpaceDE w:val="0"/>
        <w:autoSpaceDN w:val="0"/>
        <w:adjustRightInd w:val="0"/>
        <w:rPr>
          <w:kern w:val="0"/>
          <w:sz w:val="24"/>
        </w:rPr>
      </w:pPr>
      <w:r>
        <w:rPr>
          <w:kern w:val="0"/>
          <w:sz w:val="24"/>
        </w:rPr>
        <w:t xml:space="preserve">The amount of equity financing declined year on year. </w:t>
      </w:r>
      <w:r>
        <w:rPr>
          <w:rFonts w:hint="eastAsia"/>
          <w:kern w:val="0"/>
          <w:sz w:val="24"/>
        </w:rPr>
        <w:t xml:space="preserve">In </w:t>
      </w:r>
      <w:r>
        <w:rPr>
          <w:kern w:val="0"/>
          <w:sz w:val="24"/>
        </w:rPr>
        <w:t>Q1, domestic enterprises and financial institutions raised a total of RMB 202.2</w:t>
      </w:r>
      <w:r>
        <w:rPr>
          <w:rFonts w:hint="eastAsia"/>
          <w:kern w:val="0"/>
          <w:sz w:val="24"/>
        </w:rPr>
        <w:t xml:space="preserve"> </w:t>
      </w:r>
      <w:r>
        <w:rPr>
          <w:kern w:val="0"/>
          <w:sz w:val="24"/>
        </w:rPr>
        <w:t>b</w:t>
      </w:r>
      <w:r>
        <w:rPr>
          <w:rFonts w:hint="eastAsia"/>
          <w:kern w:val="0"/>
          <w:sz w:val="24"/>
        </w:rPr>
        <w:t>i</w:t>
      </w:r>
      <w:r>
        <w:rPr>
          <w:kern w:val="0"/>
          <w:sz w:val="24"/>
        </w:rPr>
        <w:t xml:space="preserve">llion by way of IPOs, additional offerings, rights issuances, and warrant exercises on the domestic and overseas stock markets, a decrease of 38.3 percent year on year. Among this total, RMB 181.2 billion was raised on the A-share market, </w:t>
      </w:r>
      <w:r>
        <w:rPr>
          <w:rFonts w:hint="eastAsia"/>
          <w:kern w:val="0"/>
          <w:sz w:val="24"/>
        </w:rPr>
        <w:t xml:space="preserve">down </w:t>
      </w:r>
      <w:r>
        <w:rPr>
          <w:kern w:val="0"/>
          <w:sz w:val="24"/>
        </w:rPr>
        <w:t>41.7</w:t>
      </w:r>
      <w:r>
        <w:rPr>
          <w:rFonts w:hint="eastAsia"/>
          <w:kern w:val="0"/>
          <w:sz w:val="24"/>
        </w:rPr>
        <w:t xml:space="preserve"> </w:t>
      </w:r>
      <w:r>
        <w:rPr>
          <w:kern w:val="0"/>
          <w:sz w:val="24"/>
        </w:rPr>
        <w:t>percent year on year.</w:t>
      </w:r>
    </w:p>
    <w:p>
      <w:pPr>
        <w:autoSpaceDE w:val="0"/>
        <w:autoSpaceDN w:val="0"/>
        <w:adjustRightInd w:val="0"/>
        <w:rPr>
          <w:rFonts w:eastAsia="仿宋_GB2312"/>
          <w:sz w:val="24"/>
        </w:rPr>
      </w:pPr>
    </w:p>
    <w:p>
      <w:pPr>
        <w:rPr>
          <w:b/>
          <w:sz w:val="24"/>
        </w:rPr>
      </w:pPr>
      <w:r>
        <w:rPr>
          <w:b/>
          <w:sz w:val="24"/>
        </w:rPr>
        <w:t>5. Premium income in the insurance sector declined year on year and asset growth moderated</w:t>
      </w:r>
    </w:p>
    <w:p>
      <w:pPr>
        <w:autoSpaceDE w:val="0"/>
        <w:autoSpaceDN w:val="0"/>
        <w:adjustRightInd w:val="0"/>
        <w:rPr>
          <w:kern w:val="0"/>
          <w:sz w:val="24"/>
        </w:rPr>
      </w:pPr>
      <w:r>
        <w:rPr>
          <w:kern w:val="0"/>
          <w:sz w:val="24"/>
        </w:rPr>
        <w:t>Premium income declined year on year</w:t>
      </w:r>
      <w:r>
        <w:rPr>
          <w:rFonts w:hint="eastAsia"/>
          <w:kern w:val="0"/>
          <w:sz w:val="24"/>
        </w:rPr>
        <w:t>. In</w:t>
      </w:r>
      <w:r>
        <w:rPr>
          <w:kern w:val="0"/>
          <w:sz w:val="24"/>
        </w:rPr>
        <w:t xml:space="preserve"> Q1, total premium income in the insurance sector amounted to RMB 1.4 trillion, a year-on-year decrease of 11.2 percent. Claim and benefit payments totaled RMB 326.8 b</w:t>
      </w:r>
      <w:r>
        <w:rPr>
          <w:rFonts w:hint="eastAsia"/>
          <w:kern w:val="0"/>
          <w:sz w:val="24"/>
        </w:rPr>
        <w:t>i</w:t>
      </w:r>
      <w:r>
        <w:rPr>
          <w:kern w:val="0"/>
          <w:sz w:val="24"/>
        </w:rPr>
        <w:t xml:space="preserve">llion, a year-on-year </w:t>
      </w:r>
      <w:r>
        <w:rPr>
          <w:rFonts w:hint="eastAsia"/>
          <w:kern w:val="0"/>
          <w:sz w:val="24"/>
        </w:rPr>
        <w:t>decline</w:t>
      </w:r>
      <w:r>
        <w:rPr>
          <w:kern w:val="0"/>
          <w:sz w:val="24"/>
        </w:rPr>
        <w:t xml:space="preserve"> of 1.1</w:t>
      </w:r>
      <w:r>
        <w:rPr>
          <w:rFonts w:hint="eastAsia"/>
          <w:kern w:val="0"/>
          <w:sz w:val="24"/>
        </w:rPr>
        <w:t xml:space="preserve"> </w:t>
      </w:r>
      <w:r>
        <w:rPr>
          <w:kern w:val="0"/>
          <w:sz w:val="24"/>
        </w:rPr>
        <w:t xml:space="preserve">percent. Specifically, total </w:t>
      </w:r>
      <w:r>
        <w:rPr>
          <w:rFonts w:hint="eastAsia"/>
          <w:kern w:val="0"/>
          <w:sz w:val="24"/>
        </w:rPr>
        <w:t xml:space="preserve">property insurance </w:t>
      </w:r>
      <w:r>
        <w:rPr>
          <w:kern w:val="0"/>
          <w:sz w:val="24"/>
        </w:rPr>
        <w:t>claim and benefit payments increased 10.6 percent year on year, and total life-insurance claim and benefit payments decreased 7.2 percent.</w:t>
      </w:r>
    </w:p>
    <w:p>
      <w:pPr>
        <w:autoSpaceDE w:val="0"/>
        <w:autoSpaceDN w:val="0"/>
        <w:adjustRightInd w:val="0"/>
        <w:rPr>
          <w:kern w:val="0"/>
          <w:sz w:val="24"/>
        </w:rPr>
      </w:pPr>
    </w:p>
    <w:p>
      <w:pPr>
        <w:autoSpaceDE w:val="0"/>
        <w:autoSpaceDN w:val="0"/>
        <w:adjustRightInd w:val="0"/>
        <w:rPr>
          <w:kern w:val="0"/>
          <w:sz w:val="24"/>
        </w:rPr>
      </w:pPr>
      <w:r>
        <w:rPr>
          <w:kern w:val="0"/>
          <w:sz w:val="24"/>
        </w:rPr>
        <w:t>Growth of insurance assets further moderated. At end-March, total assets in the insurance industry posted RMB 1</w:t>
      </w:r>
      <w:r>
        <w:rPr>
          <w:rFonts w:hint="eastAsia"/>
          <w:kern w:val="0"/>
          <w:sz w:val="24"/>
        </w:rPr>
        <w:t>7</w:t>
      </w:r>
      <w:r>
        <w:rPr>
          <w:kern w:val="0"/>
          <w:sz w:val="24"/>
        </w:rPr>
        <w:t xml:space="preserve">.2 trillion, </w:t>
      </w:r>
      <w:r>
        <w:rPr>
          <w:rFonts w:hint="eastAsia"/>
          <w:kern w:val="0"/>
          <w:sz w:val="24"/>
        </w:rPr>
        <w:t>up</w:t>
      </w:r>
      <w:r>
        <w:rPr>
          <w:kern w:val="0"/>
          <w:sz w:val="24"/>
        </w:rPr>
        <w:t xml:space="preserve"> 6.4 percent </w:t>
      </w:r>
      <w:r>
        <w:rPr>
          <w:rFonts w:hint="eastAsia"/>
          <w:kern w:val="0"/>
          <w:sz w:val="24"/>
        </w:rPr>
        <w:t xml:space="preserve">year on year </w:t>
      </w:r>
      <w:r>
        <w:rPr>
          <w:kern w:val="0"/>
          <w:sz w:val="24"/>
        </w:rPr>
        <w:t>and a deceleration of 4.4 percentage points from</w:t>
      </w:r>
      <w:r>
        <w:rPr>
          <w:rFonts w:hint="eastAsia"/>
          <w:kern w:val="0"/>
          <w:sz w:val="24"/>
        </w:rPr>
        <w:t xml:space="preserve"> </w:t>
      </w:r>
      <w:r>
        <w:rPr>
          <w:kern w:val="0"/>
          <w:sz w:val="24"/>
        </w:rPr>
        <w:t>end-</w:t>
      </w:r>
      <w:r>
        <w:rPr>
          <w:rFonts w:hint="eastAsia"/>
          <w:kern w:val="0"/>
          <w:sz w:val="24"/>
        </w:rPr>
        <w:t>2017</w:t>
      </w:r>
      <w:r>
        <w:rPr>
          <w:kern w:val="0"/>
          <w:sz w:val="24"/>
        </w:rPr>
        <w:t xml:space="preserve">. Among this total, outstanding bank deposits decreased 14.5 percent year on year, whereas investment-linked assets increased </w:t>
      </w:r>
      <w:r>
        <w:rPr>
          <w:rFonts w:hint="eastAsia"/>
          <w:kern w:val="0"/>
          <w:sz w:val="24"/>
        </w:rPr>
        <w:t xml:space="preserve">13.1 </w:t>
      </w:r>
      <w:r>
        <w:rPr>
          <w:kern w:val="0"/>
          <w:sz w:val="24"/>
        </w:rPr>
        <w:t>percent year on year.</w:t>
      </w:r>
    </w:p>
    <w:p>
      <w:pPr>
        <w:autoSpaceDE w:val="0"/>
        <w:autoSpaceDN w:val="0"/>
        <w:adjustRightInd w:val="0"/>
        <w:rPr>
          <w:rFonts w:eastAsia="仿宋_GB2312"/>
          <w:sz w:val="24"/>
        </w:rPr>
      </w:pPr>
    </w:p>
    <w:p>
      <w:pPr>
        <w:keepNext/>
        <w:autoSpaceDE w:val="0"/>
        <w:autoSpaceDN w:val="0"/>
        <w:adjustRightInd w:val="0"/>
        <w:jc w:val="center"/>
        <w:rPr>
          <w:b/>
          <w:sz w:val="24"/>
        </w:rPr>
      </w:pPr>
      <w:bookmarkStart w:id="106" w:name="_Toc476915911"/>
      <w:bookmarkStart w:id="107" w:name="_Toc476917604"/>
      <w:bookmarkStart w:id="108" w:name="_Toc477878116"/>
      <w:bookmarkStart w:id="109" w:name="_Toc517190867"/>
      <w:r>
        <w:rPr>
          <w:b/>
          <w:sz w:val="24"/>
        </w:rPr>
        <w:t xml:space="preserve">Table </w:t>
      </w:r>
      <w:r>
        <w:rPr>
          <w:b/>
          <w:sz w:val="24"/>
        </w:rPr>
        <w:fldChar w:fldCharType="begin"/>
      </w:r>
      <w:r>
        <w:rPr>
          <w:b/>
          <w:sz w:val="24"/>
        </w:rPr>
        <w:instrText xml:space="preserve"> SEQ Table \* ARABIC </w:instrText>
      </w:r>
      <w:r>
        <w:rPr>
          <w:b/>
          <w:sz w:val="24"/>
        </w:rPr>
        <w:fldChar w:fldCharType="separate"/>
      </w:r>
      <w:r>
        <w:rPr>
          <w:b/>
          <w:sz w:val="24"/>
        </w:rPr>
        <w:t>12</w:t>
      </w:r>
      <w:r>
        <w:rPr>
          <w:b/>
          <w:sz w:val="24"/>
        </w:rPr>
        <w:fldChar w:fldCharType="end"/>
      </w:r>
      <w:r>
        <w:rPr>
          <w:b/>
          <w:sz w:val="24"/>
        </w:rPr>
        <w:t>. Use of Insurance Funds, End-</w:t>
      </w:r>
      <w:r>
        <w:rPr>
          <w:rFonts w:hint="eastAsia"/>
          <w:b/>
          <w:sz w:val="24"/>
        </w:rPr>
        <w:t xml:space="preserve">March </w:t>
      </w:r>
      <w:r>
        <w:rPr>
          <w:b/>
          <w:sz w:val="24"/>
        </w:rPr>
        <w:t>201</w:t>
      </w:r>
      <w:bookmarkEnd w:id="106"/>
      <w:bookmarkEnd w:id="107"/>
      <w:bookmarkEnd w:id="108"/>
      <w:r>
        <w:rPr>
          <w:rFonts w:hint="eastAsia"/>
          <w:b/>
          <w:sz w:val="24"/>
        </w:rPr>
        <w:t>8</w:t>
      </w:r>
      <w:bookmarkEnd w:id="109"/>
    </w:p>
    <w:tbl>
      <w:tblPr>
        <w:tblStyle w:val="96"/>
        <w:tblW w:w="8583" w:type="dxa"/>
        <w:jc w:val="center"/>
        <w:tblInd w:w="0" w:type="dxa"/>
        <w:tblLayout w:type="fixed"/>
        <w:tblCellMar>
          <w:top w:w="0" w:type="dxa"/>
          <w:left w:w="0" w:type="dxa"/>
          <w:bottom w:w="0" w:type="dxa"/>
          <w:right w:w="0" w:type="dxa"/>
        </w:tblCellMar>
      </w:tblPr>
      <w:tblGrid>
        <w:gridCol w:w="2372"/>
        <w:gridCol w:w="1682"/>
        <w:gridCol w:w="1490"/>
        <w:gridCol w:w="1535"/>
        <w:gridCol w:w="1504"/>
      </w:tblGrid>
      <w:tr>
        <w:tblPrEx>
          <w:tblLayout w:type="fixed"/>
          <w:tblCellMar>
            <w:top w:w="0" w:type="dxa"/>
            <w:left w:w="0" w:type="dxa"/>
            <w:bottom w:w="0" w:type="dxa"/>
            <w:right w:w="0" w:type="dxa"/>
          </w:tblCellMar>
        </w:tblPrEx>
        <w:trPr>
          <w:trHeight w:val="402" w:hRule="atLeast"/>
          <w:jc w:val="center"/>
        </w:trPr>
        <w:tc>
          <w:tcPr>
            <w:tcW w:w="2372" w:type="dxa"/>
            <w:tcBorders>
              <w:top w:val="single" w:color="339966" w:sz="12" w:space="0"/>
              <w:left w:val="nil"/>
              <w:bottom w:val="nil"/>
              <w:right w:val="single" w:color="339966" w:sz="4" w:space="0"/>
            </w:tcBorders>
            <w:shd w:val="clear" w:color="auto" w:fill="CCFFCC"/>
            <w:vAlign w:val="center"/>
          </w:tcPr>
          <w:p>
            <w:pPr>
              <w:rPr>
                <w:szCs w:val="21"/>
              </w:rPr>
            </w:pPr>
          </w:p>
        </w:tc>
        <w:tc>
          <w:tcPr>
            <w:tcW w:w="3172" w:type="dxa"/>
            <w:gridSpan w:val="2"/>
            <w:tcBorders>
              <w:top w:val="single" w:color="008000" w:sz="12" w:space="0"/>
              <w:left w:val="nil"/>
              <w:bottom w:val="single" w:color="008000" w:sz="4" w:space="0"/>
              <w:right w:val="single" w:color="008000" w:sz="4" w:space="0"/>
            </w:tcBorders>
            <w:shd w:val="clear" w:color="auto" w:fill="CCFFCC"/>
            <w:vAlign w:val="center"/>
          </w:tcPr>
          <w:p>
            <w:pPr>
              <w:jc w:val="center"/>
              <w:rPr>
                <w:szCs w:val="21"/>
              </w:rPr>
            </w:pPr>
            <w:r>
              <w:rPr>
                <w:szCs w:val="21"/>
              </w:rPr>
              <w:t>Outstanding balance (RMB 100 million)</w:t>
            </w:r>
          </w:p>
        </w:tc>
        <w:tc>
          <w:tcPr>
            <w:tcW w:w="3039" w:type="dxa"/>
            <w:gridSpan w:val="2"/>
            <w:tcBorders>
              <w:top w:val="single" w:color="008000" w:sz="12" w:space="0"/>
              <w:left w:val="nil"/>
              <w:bottom w:val="single" w:color="008000" w:sz="4" w:space="0"/>
              <w:right w:val="nil"/>
            </w:tcBorders>
            <w:shd w:val="clear" w:color="auto" w:fill="CCFFCC"/>
            <w:vAlign w:val="center"/>
          </w:tcPr>
          <w:p>
            <w:pPr>
              <w:jc w:val="center"/>
              <w:rPr>
                <w:szCs w:val="21"/>
              </w:rPr>
            </w:pPr>
            <w:r>
              <w:rPr>
                <w:szCs w:val="21"/>
              </w:rPr>
              <w:t>As a share of total assets (%)</w:t>
            </w:r>
          </w:p>
        </w:tc>
      </w:tr>
      <w:tr>
        <w:tblPrEx>
          <w:tblLayout w:type="fixed"/>
          <w:tblCellMar>
            <w:top w:w="0" w:type="dxa"/>
            <w:left w:w="0" w:type="dxa"/>
            <w:bottom w:w="0" w:type="dxa"/>
            <w:right w:w="0" w:type="dxa"/>
          </w:tblCellMar>
        </w:tblPrEx>
        <w:trPr>
          <w:trHeight w:val="258" w:hRule="atLeast"/>
          <w:jc w:val="center"/>
        </w:trPr>
        <w:tc>
          <w:tcPr>
            <w:tcW w:w="2372" w:type="dxa"/>
            <w:tcBorders>
              <w:top w:val="nil"/>
              <w:left w:val="nil"/>
              <w:bottom w:val="single" w:color="339966" w:sz="6" w:space="0"/>
              <w:right w:val="single" w:color="339966" w:sz="4" w:space="0"/>
            </w:tcBorders>
            <w:vAlign w:val="center"/>
          </w:tcPr>
          <w:p>
            <w:pPr>
              <w:keepNext/>
              <w:keepLines/>
              <w:spacing w:beforeLines="200" w:afterLines="100"/>
              <w:outlineLvl w:val="0"/>
              <w:rPr>
                <w:szCs w:val="21"/>
              </w:rPr>
            </w:pPr>
          </w:p>
        </w:tc>
        <w:tc>
          <w:tcPr>
            <w:tcW w:w="1682" w:type="dxa"/>
            <w:tcBorders>
              <w:top w:val="single" w:color="008000" w:sz="4" w:space="0"/>
              <w:left w:val="nil"/>
              <w:bottom w:val="single" w:color="339966" w:sz="6" w:space="0"/>
              <w:right w:val="single" w:color="008000" w:sz="4" w:space="0"/>
            </w:tcBorders>
            <w:vAlign w:val="center"/>
          </w:tcPr>
          <w:p>
            <w:pPr>
              <w:jc w:val="center"/>
              <w:rPr>
                <w:szCs w:val="21"/>
              </w:rPr>
            </w:pPr>
            <w:r>
              <w:rPr>
                <w:szCs w:val="21"/>
              </w:rPr>
              <w:t>End-</w:t>
            </w:r>
            <w:r>
              <w:rPr>
                <w:rFonts w:hint="eastAsia"/>
                <w:szCs w:val="21"/>
              </w:rPr>
              <w:t xml:space="preserve">March </w:t>
            </w:r>
            <w:r>
              <w:rPr>
                <w:szCs w:val="21"/>
              </w:rPr>
              <w:t>201</w:t>
            </w:r>
            <w:r>
              <w:rPr>
                <w:rFonts w:hint="eastAsia"/>
                <w:szCs w:val="21"/>
              </w:rPr>
              <w:t>8</w:t>
            </w:r>
          </w:p>
        </w:tc>
        <w:tc>
          <w:tcPr>
            <w:tcW w:w="1490" w:type="dxa"/>
            <w:tcBorders>
              <w:top w:val="single" w:color="008000" w:sz="4" w:space="0"/>
              <w:left w:val="nil"/>
              <w:bottom w:val="single" w:color="339966" w:sz="6" w:space="0"/>
              <w:right w:val="single" w:color="008000" w:sz="4" w:space="0"/>
            </w:tcBorders>
            <w:vAlign w:val="center"/>
          </w:tcPr>
          <w:p>
            <w:pPr>
              <w:jc w:val="center"/>
              <w:rPr>
                <w:rFonts w:eastAsia="仿宋_GB2312"/>
                <w:szCs w:val="21"/>
              </w:rPr>
            </w:pPr>
            <w:r>
              <w:rPr>
                <w:szCs w:val="21"/>
              </w:rPr>
              <w:t>End-</w:t>
            </w:r>
            <w:r>
              <w:rPr>
                <w:rFonts w:hint="eastAsia"/>
                <w:szCs w:val="21"/>
              </w:rPr>
              <w:t xml:space="preserve">March </w:t>
            </w:r>
            <w:r>
              <w:rPr>
                <w:szCs w:val="21"/>
              </w:rPr>
              <w:t>2017</w:t>
            </w:r>
          </w:p>
        </w:tc>
        <w:tc>
          <w:tcPr>
            <w:tcW w:w="1535" w:type="dxa"/>
            <w:tcBorders>
              <w:top w:val="single" w:color="008000" w:sz="4" w:space="0"/>
              <w:left w:val="nil"/>
              <w:bottom w:val="single" w:color="339966" w:sz="6" w:space="0"/>
              <w:right w:val="single" w:color="008000" w:sz="4" w:space="0"/>
            </w:tcBorders>
            <w:vAlign w:val="center"/>
          </w:tcPr>
          <w:p>
            <w:pPr>
              <w:jc w:val="center"/>
              <w:rPr>
                <w:szCs w:val="21"/>
              </w:rPr>
            </w:pPr>
            <w:r>
              <w:rPr>
                <w:szCs w:val="21"/>
              </w:rPr>
              <w:t>End-</w:t>
            </w:r>
            <w:r>
              <w:rPr>
                <w:rFonts w:hint="eastAsia"/>
                <w:szCs w:val="21"/>
              </w:rPr>
              <w:t xml:space="preserve">March </w:t>
            </w:r>
            <w:r>
              <w:rPr>
                <w:szCs w:val="21"/>
              </w:rPr>
              <w:t>201</w:t>
            </w:r>
            <w:r>
              <w:rPr>
                <w:rFonts w:hint="eastAsia"/>
                <w:szCs w:val="21"/>
              </w:rPr>
              <w:t>8</w:t>
            </w:r>
          </w:p>
        </w:tc>
        <w:tc>
          <w:tcPr>
            <w:tcW w:w="1504" w:type="dxa"/>
            <w:tcBorders>
              <w:top w:val="single" w:color="008000" w:sz="4" w:space="0"/>
              <w:left w:val="nil"/>
              <w:bottom w:val="single" w:color="339966" w:sz="6" w:space="0"/>
              <w:right w:val="nil"/>
            </w:tcBorders>
            <w:vAlign w:val="center"/>
          </w:tcPr>
          <w:p>
            <w:pPr>
              <w:jc w:val="center"/>
              <w:rPr>
                <w:rFonts w:eastAsia="仿宋_GB2312"/>
                <w:szCs w:val="21"/>
              </w:rPr>
            </w:pPr>
            <w:r>
              <w:rPr>
                <w:szCs w:val="21"/>
              </w:rPr>
              <w:t>End-</w:t>
            </w:r>
            <w:r>
              <w:rPr>
                <w:rFonts w:hint="eastAsia"/>
                <w:szCs w:val="21"/>
              </w:rPr>
              <w:t xml:space="preserve">March </w:t>
            </w:r>
            <w:r>
              <w:rPr>
                <w:szCs w:val="21"/>
              </w:rPr>
              <w:t>2017</w:t>
            </w:r>
          </w:p>
        </w:tc>
      </w:tr>
      <w:tr>
        <w:tblPrEx>
          <w:tblLayout w:type="fixed"/>
          <w:tblCellMar>
            <w:top w:w="0" w:type="dxa"/>
            <w:left w:w="0" w:type="dxa"/>
            <w:bottom w:w="0" w:type="dxa"/>
            <w:right w:w="0" w:type="dxa"/>
          </w:tblCellMar>
        </w:tblPrEx>
        <w:trPr>
          <w:trHeight w:val="402" w:hRule="atLeast"/>
          <w:jc w:val="center"/>
        </w:trPr>
        <w:tc>
          <w:tcPr>
            <w:tcW w:w="2372" w:type="dxa"/>
            <w:tcBorders>
              <w:top w:val="single" w:color="339966" w:sz="6" w:space="0"/>
              <w:left w:val="nil"/>
              <w:bottom w:val="nil"/>
              <w:right w:val="single" w:color="339966" w:sz="4" w:space="0"/>
            </w:tcBorders>
            <w:shd w:val="clear" w:color="auto" w:fill="CCFFCC"/>
            <w:vAlign w:val="center"/>
          </w:tcPr>
          <w:p>
            <w:pPr>
              <w:rPr>
                <w:szCs w:val="21"/>
              </w:rPr>
            </w:pPr>
            <w:r>
              <w:rPr>
                <w:rFonts w:hAnsi="宋体"/>
                <w:szCs w:val="21"/>
              </w:rPr>
              <w:t xml:space="preserve">Total assets </w:t>
            </w:r>
          </w:p>
        </w:tc>
        <w:tc>
          <w:tcPr>
            <w:tcW w:w="1682" w:type="dxa"/>
            <w:tcBorders>
              <w:top w:val="single" w:color="339966" w:sz="6" w:space="0"/>
              <w:left w:val="nil"/>
              <w:bottom w:val="nil"/>
              <w:right w:val="single" w:color="008000" w:sz="4" w:space="0"/>
            </w:tcBorders>
            <w:shd w:val="clear" w:color="auto" w:fill="CCFFCC"/>
            <w:vAlign w:val="center"/>
          </w:tcPr>
          <w:p>
            <w:pPr>
              <w:ind w:left="-42" w:leftChars="-20" w:right="273" w:rightChars="130"/>
              <w:jc w:val="right"/>
              <w:rPr>
                <w:szCs w:val="21"/>
              </w:rPr>
            </w:pPr>
            <w:r>
              <w:rPr>
                <w:szCs w:val="21"/>
              </w:rPr>
              <w:t>172,242</w:t>
            </w:r>
          </w:p>
        </w:tc>
        <w:tc>
          <w:tcPr>
            <w:tcW w:w="1490" w:type="dxa"/>
            <w:tcBorders>
              <w:top w:val="single" w:color="339966" w:sz="6" w:space="0"/>
              <w:left w:val="single" w:color="008000" w:sz="4" w:space="0"/>
              <w:bottom w:val="nil"/>
              <w:right w:val="single" w:color="008000" w:sz="4" w:space="0"/>
            </w:tcBorders>
            <w:shd w:val="clear" w:color="auto" w:fill="CCFFCC"/>
            <w:vAlign w:val="center"/>
          </w:tcPr>
          <w:p>
            <w:pPr>
              <w:ind w:left="-42" w:leftChars="-20" w:right="273" w:rightChars="130"/>
              <w:jc w:val="right"/>
              <w:rPr>
                <w:szCs w:val="21"/>
              </w:rPr>
            </w:pPr>
            <w:r>
              <w:rPr>
                <w:szCs w:val="21"/>
              </w:rPr>
              <w:t>161,815</w:t>
            </w:r>
          </w:p>
        </w:tc>
        <w:tc>
          <w:tcPr>
            <w:tcW w:w="1535" w:type="dxa"/>
            <w:tcBorders>
              <w:top w:val="single" w:color="339966" w:sz="6" w:space="0"/>
              <w:left w:val="single" w:color="008000" w:sz="4" w:space="0"/>
              <w:bottom w:val="nil"/>
              <w:right w:val="single" w:color="008000" w:sz="4" w:space="0"/>
            </w:tcBorders>
            <w:shd w:val="clear" w:color="auto" w:fill="CCFFCC"/>
            <w:vAlign w:val="center"/>
          </w:tcPr>
          <w:p>
            <w:pPr>
              <w:ind w:left="-42" w:leftChars="-20" w:right="273" w:rightChars="130"/>
              <w:jc w:val="right"/>
              <w:rPr>
                <w:szCs w:val="21"/>
              </w:rPr>
            </w:pPr>
            <w:r>
              <w:rPr>
                <w:szCs w:val="21"/>
              </w:rPr>
              <w:t>100</w:t>
            </w:r>
          </w:p>
        </w:tc>
        <w:tc>
          <w:tcPr>
            <w:tcW w:w="1504" w:type="dxa"/>
            <w:tcBorders>
              <w:top w:val="single" w:color="339966" w:sz="6" w:space="0"/>
              <w:left w:val="single" w:color="008000" w:sz="4" w:space="0"/>
              <w:bottom w:val="nil"/>
              <w:right w:val="nil"/>
            </w:tcBorders>
            <w:shd w:val="clear" w:color="auto" w:fill="CCFFCC"/>
            <w:vAlign w:val="center"/>
          </w:tcPr>
          <w:p>
            <w:pPr>
              <w:ind w:left="-42" w:leftChars="-20" w:right="273" w:rightChars="130"/>
              <w:jc w:val="right"/>
              <w:rPr>
                <w:szCs w:val="21"/>
              </w:rPr>
            </w:pPr>
            <w:r>
              <w:rPr>
                <w:szCs w:val="21"/>
              </w:rPr>
              <w:t>100</w:t>
            </w:r>
          </w:p>
        </w:tc>
      </w:tr>
      <w:tr>
        <w:tblPrEx>
          <w:tblLayout w:type="fixed"/>
          <w:tblCellMar>
            <w:top w:w="0" w:type="dxa"/>
            <w:left w:w="0" w:type="dxa"/>
            <w:bottom w:w="0" w:type="dxa"/>
            <w:right w:w="0" w:type="dxa"/>
          </w:tblCellMar>
        </w:tblPrEx>
        <w:trPr>
          <w:trHeight w:val="402" w:hRule="atLeast"/>
          <w:jc w:val="center"/>
        </w:trPr>
        <w:tc>
          <w:tcPr>
            <w:tcW w:w="2372" w:type="dxa"/>
            <w:tcBorders>
              <w:top w:val="nil"/>
              <w:left w:val="nil"/>
              <w:bottom w:val="nil"/>
              <w:right w:val="single" w:color="339966" w:sz="4" w:space="0"/>
            </w:tcBorders>
            <w:vAlign w:val="center"/>
          </w:tcPr>
          <w:p>
            <w:pPr>
              <w:ind w:firstLine="105" w:firstLineChars="50"/>
              <w:rPr>
                <w:szCs w:val="21"/>
              </w:rPr>
            </w:pPr>
            <w:r>
              <w:rPr>
                <w:rFonts w:hAnsi="宋体"/>
                <w:szCs w:val="21"/>
              </w:rPr>
              <w:t>Of which: Bank deposits</w:t>
            </w:r>
          </w:p>
        </w:tc>
        <w:tc>
          <w:tcPr>
            <w:tcW w:w="1682" w:type="dxa"/>
            <w:tcBorders>
              <w:top w:val="nil"/>
              <w:left w:val="nil"/>
              <w:bottom w:val="nil"/>
              <w:right w:val="single" w:color="008000" w:sz="4" w:space="0"/>
            </w:tcBorders>
            <w:vAlign w:val="center"/>
          </w:tcPr>
          <w:p>
            <w:pPr>
              <w:ind w:left="-42" w:leftChars="-20" w:right="273" w:rightChars="130"/>
              <w:jc w:val="right"/>
              <w:rPr>
                <w:szCs w:val="21"/>
              </w:rPr>
            </w:pPr>
            <w:r>
              <w:rPr>
                <w:szCs w:val="21"/>
              </w:rPr>
              <w:t>20,182</w:t>
            </w:r>
          </w:p>
        </w:tc>
        <w:tc>
          <w:tcPr>
            <w:tcW w:w="1490" w:type="dxa"/>
            <w:tcBorders>
              <w:top w:val="nil"/>
              <w:left w:val="single" w:color="008000" w:sz="4" w:space="0"/>
              <w:bottom w:val="nil"/>
              <w:right w:val="single" w:color="008000" w:sz="4" w:space="0"/>
            </w:tcBorders>
            <w:vAlign w:val="center"/>
          </w:tcPr>
          <w:p>
            <w:pPr>
              <w:ind w:left="-42" w:leftChars="-20" w:right="273" w:rightChars="130"/>
              <w:jc w:val="right"/>
              <w:rPr>
                <w:szCs w:val="21"/>
              </w:rPr>
            </w:pPr>
            <w:r>
              <w:rPr>
                <w:szCs w:val="21"/>
              </w:rPr>
              <w:t>2</w:t>
            </w:r>
            <w:r>
              <w:rPr>
                <w:rFonts w:hint="eastAsia"/>
                <w:szCs w:val="21"/>
              </w:rPr>
              <w:t>3</w:t>
            </w:r>
            <w:r>
              <w:rPr>
                <w:szCs w:val="21"/>
              </w:rPr>
              <w:t>,650</w:t>
            </w:r>
          </w:p>
        </w:tc>
        <w:tc>
          <w:tcPr>
            <w:tcW w:w="1535" w:type="dxa"/>
            <w:tcBorders>
              <w:top w:val="nil"/>
              <w:left w:val="single" w:color="008000" w:sz="4" w:space="0"/>
              <w:bottom w:val="nil"/>
              <w:right w:val="single" w:color="008000" w:sz="4" w:space="0"/>
            </w:tcBorders>
            <w:vAlign w:val="center"/>
          </w:tcPr>
          <w:p>
            <w:pPr>
              <w:ind w:left="-42" w:leftChars="-20" w:right="273" w:rightChars="130"/>
              <w:jc w:val="right"/>
              <w:rPr>
                <w:szCs w:val="21"/>
              </w:rPr>
            </w:pPr>
            <w:r>
              <w:rPr>
                <w:szCs w:val="21"/>
              </w:rPr>
              <w:t>11.7</w:t>
            </w:r>
          </w:p>
        </w:tc>
        <w:tc>
          <w:tcPr>
            <w:tcW w:w="1504" w:type="dxa"/>
            <w:tcBorders>
              <w:top w:val="nil"/>
              <w:left w:val="single" w:color="008000" w:sz="4" w:space="0"/>
              <w:bottom w:val="nil"/>
              <w:right w:val="nil"/>
            </w:tcBorders>
            <w:vAlign w:val="center"/>
          </w:tcPr>
          <w:p>
            <w:pPr>
              <w:ind w:left="-42" w:leftChars="-20" w:right="273" w:rightChars="130"/>
              <w:jc w:val="right"/>
              <w:rPr>
                <w:szCs w:val="21"/>
              </w:rPr>
            </w:pPr>
            <w:r>
              <w:rPr>
                <w:rFonts w:hint="eastAsia"/>
                <w:szCs w:val="21"/>
              </w:rPr>
              <w:t>1</w:t>
            </w:r>
            <w:r>
              <w:rPr>
                <w:szCs w:val="21"/>
              </w:rPr>
              <w:t>4.6</w:t>
            </w:r>
          </w:p>
        </w:tc>
      </w:tr>
      <w:tr>
        <w:tblPrEx>
          <w:tblLayout w:type="fixed"/>
          <w:tblCellMar>
            <w:top w:w="0" w:type="dxa"/>
            <w:left w:w="0" w:type="dxa"/>
            <w:bottom w:w="0" w:type="dxa"/>
            <w:right w:w="0" w:type="dxa"/>
          </w:tblCellMar>
        </w:tblPrEx>
        <w:trPr>
          <w:trHeight w:val="374" w:hRule="exact"/>
          <w:jc w:val="center"/>
        </w:trPr>
        <w:tc>
          <w:tcPr>
            <w:tcW w:w="2372" w:type="dxa"/>
            <w:tcBorders>
              <w:top w:val="nil"/>
              <w:left w:val="nil"/>
              <w:bottom w:val="single" w:color="339966" w:sz="12" w:space="0"/>
              <w:right w:val="single" w:color="339966" w:sz="4" w:space="0"/>
            </w:tcBorders>
            <w:shd w:val="clear" w:color="auto" w:fill="CCFFCC"/>
            <w:vAlign w:val="center"/>
          </w:tcPr>
          <w:p>
            <w:pPr>
              <w:ind w:left="1470" w:leftChars="100" w:hanging="1260" w:hangingChars="600"/>
              <w:rPr>
                <w:szCs w:val="21"/>
              </w:rPr>
            </w:pPr>
            <w:r>
              <w:rPr>
                <w:szCs w:val="21"/>
              </w:rPr>
              <w:t xml:space="preserve">        Investments </w:t>
            </w:r>
          </w:p>
        </w:tc>
        <w:tc>
          <w:tcPr>
            <w:tcW w:w="1682" w:type="dxa"/>
            <w:tcBorders>
              <w:top w:val="nil"/>
              <w:left w:val="nil"/>
              <w:bottom w:val="single" w:color="339966" w:sz="12" w:space="0"/>
              <w:right w:val="single" w:color="008000" w:sz="4" w:space="0"/>
            </w:tcBorders>
            <w:shd w:val="clear" w:color="auto" w:fill="CCFFCC"/>
            <w:vAlign w:val="center"/>
          </w:tcPr>
          <w:p>
            <w:pPr>
              <w:ind w:left="-42" w:leftChars="-20" w:right="273" w:rightChars="130"/>
              <w:jc w:val="right"/>
              <w:rPr>
                <w:szCs w:val="21"/>
              </w:rPr>
            </w:pPr>
            <w:r>
              <w:rPr>
                <w:szCs w:val="21"/>
              </w:rPr>
              <w:t>132,45</w:t>
            </w:r>
            <w:r>
              <w:rPr>
                <w:rFonts w:hint="eastAsia"/>
                <w:szCs w:val="21"/>
              </w:rPr>
              <w:t>1</w:t>
            </w:r>
          </w:p>
        </w:tc>
        <w:tc>
          <w:tcPr>
            <w:tcW w:w="1490" w:type="dxa"/>
            <w:tcBorders>
              <w:top w:val="nil"/>
              <w:left w:val="single" w:color="008000" w:sz="4" w:space="0"/>
              <w:bottom w:val="single" w:color="339966" w:sz="12" w:space="0"/>
              <w:right w:val="single" w:color="008000" w:sz="4" w:space="0"/>
            </w:tcBorders>
            <w:shd w:val="clear" w:color="auto" w:fill="CCFFCC"/>
            <w:vAlign w:val="center"/>
          </w:tcPr>
          <w:p>
            <w:pPr>
              <w:ind w:left="-42" w:leftChars="-20" w:right="273" w:rightChars="130"/>
              <w:jc w:val="right"/>
              <w:rPr>
                <w:szCs w:val="21"/>
              </w:rPr>
            </w:pPr>
            <w:r>
              <w:rPr>
                <w:szCs w:val="21"/>
              </w:rPr>
              <w:t>117,1</w:t>
            </w:r>
            <w:r>
              <w:rPr>
                <w:rFonts w:hint="eastAsia"/>
                <w:szCs w:val="21"/>
              </w:rPr>
              <w:t>3</w:t>
            </w:r>
            <w:r>
              <w:rPr>
                <w:szCs w:val="21"/>
              </w:rPr>
              <w:t>1</w:t>
            </w:r>
          </w:p>
        </w:tc>
        <w:tc>
          <w:tcPr>
            <w:tcW w:w="1535" w:type="dxa"/>
            <w:tcBorders>
              <w:top w:val="nil"/>
              <w:left w:val="single" w:color="008000" w:sz="4" w:space="0"/>
              <w:bottom w:val="single" w:color="339966" w:sz="12" w:space="0"/>
              <w:right w:val="single" w:color="008000" w:sz="4" w:space="0"/>
            </w:tcBorders>
            <w:shd w:val="clear" w:color="auto" w:fill="CCFFCC"/>
            <w:vAlign w:val="center"/>
          </w:tcPr>
          <w:p>
            <w:pPr>
              <w:ind w:left="-42" w:leftChars="-20" w:right="273" w:rightChars="130"/>
              <w:jc w:val="right"/>
              <w:rPr>
                <w:szCs w:val="21"/>
              </w:rPr>
            </w:pPr>
            <w:r>
              <w:rPr>
                <w:szCs w:val="21"/>
              </w:rPr>
              <w:t>76.9</w:t>
            </w:r>
          </w:p>
        </w:tc>
        <w:tc>
          <w:tcPr>
            <w:tcW w:w="1504" w:type="dxa"/>
            <w:tcBorders>
              <w:top w:val="nil"/>
              <w:left w:val="single" w:color="008000" w:sz="4" w:space="0"/>
              <w:bottom w:val="single" w:color="339966" w:sz="12" w:space="0"/>
              <w:right w:val="nil"/>
            </w:tcBorders>
            <w:shd w:val="clear" w:color="auto" w:fill="CCFFCC"/>
            <w:vAlign w:val="center"/>
          </w:tcPr>
          <w:p>
            <w:pPr>
              <w:ind w:left="-42" w:leftChars="-20" w:right="273" w:rightChars="130"/>
              <w:jc w:val="right"/>
              <w:rPr>
                <w:szCs w:val="21"/>
              </w:rPr>
            </w:pPr>
            <w:r>
              <w:rPr>
                <w:szCs w:val="21"/>
              </w:rPr>
              <w:t>72.</w:t>
            </w:r>
            <w:r>
              <w:rPr>
                <w:rFonts w:hint="eastAsia"/>
                <w:szCs w:val="21"/>
              </w:rPr>
              <w:t>4</w:t>
            </w:r>
          </w:p>
        </w:tc>
      </w:tr>
    </w:tbl>
    <w:p>
      <w:pPr>
        <w:rPr>
          <w:rFonts w:eastAsia="楷体_GB2312"/>
          <w:sz w:val="24"/>
        </w:rPr>
      </w:pPr>
      <w:r>
        <w:rPr>
          <w:rFonts w:eastAsia="楷体_GB2312"/>
          <w:sz w:val="24"/>
        </w:rPr>
        <w:t xml:space="preserve">Source: China Insurance Regulatory Commission. </w:t>
      </w:r>
    </w:p>
    <w:p>
      <w:pPr>
        <w:rPr>
          <w:rFonts w:eastAsia="楷体_GB2312"/>
          <w:sz w:val="24"/>
        </w:rPr>
      </w:pPr>
    </w:p>
    <w:p>
      <w:pPr>
        <w:rPr>
          <w:b/>
          <w:sz w:val="24"/>
        </w:rPr>
      </w:pPr>
      <w:r>
        <w:rPr>
          <w:b/>
          <w:sz w:val="24"/>
        </w:rPr>
        <w:t xml:space="preserve">6. </w:t>
      </w:r>
      <w:r>
        <w:rPr>
          <w:rFonts w:hint="eastAsia" w:eastAsia="仿宋_GB2312"/>
          <w:b/>
          <w:bCs/>
          <w:sz w:val="24"/>
        </w:rPr>
        <w:t>Swap t</w:t>
      </w:r>
      <w:r>
        <w:rPr>
          <w:rFonts w:eastAsia="仿宋_GB2312"/>
          <w:b/>
          <w:bCs/>
          <w:sz w:val="24"/>
        </w:rPr>
        <w:t xml:space="preserve">ransactions on the </w:t>
      </w:r>
      <w:bookmarkStart w:id="110" w:name="OLE_LINK14"/>
      <w:r>
        <w:rPr>
          <w:rFonts w:eastAsia="仿宋_GB2312"/>
          <w:b/>
          <w:bCs/>
          <w:sz w:val="24"/>
        </w:rPr>
        <w:t>foreign-exchange market</w:t>
      </w:r>
      <w:bookmarkEnd w:id="110"/>
      <w:r>
        <w:rPr>
          <w:rFonts w:hint="eastAsia"/>
          <w:b/>
          <w:sz w:val="24"/>
        </w:rPr>
        <w:t xml:space="preserve"> </w:t>
      </w:r>
      <w:r>
        <w:rPr>
          <w:b/>
          <w:sz w:val="24"/>
        </w:rPr>
        <w:t>witnessed fairly fast growth.</w:t>
      </w:r>
      <w:r>
        <w:rPr>
          <w:rFonts w:hint="eastAsia"/>
          <w:b/>
          <w:sz w:val="24"/>
        </w:rPr>
        <w:t xml:space="preserve"> </w:t>
      </w:r>
    </w:p>
    <w:p>
      <w:pPr>
        <w:autoSpaceDE w:val="0"/>
        <w:autoSpaceDN w:val="0"/>
        <w:adjustRightInd w:val="0"/>
        <w:rPr>
          <w:kern w:val="0"/>
          <w:sz w:val="24"/>
        </w:rPr>
      </w:pPr>
      <w:r>
        <w:rPr>
          <w:b/>
          <w:kern w:val="0"/>
          <w:sz w:val="24"/>
        </w:rPr>
        <w:t>T</w:t>
      </w:r>
      <w:r>
        <w:rPr>
          <w:rFonts w:hint="eastAsia"/>
          <w:b/>
          <w:kern w:val="0"/>
          <w:sz w:val="24"/>
        </w:rPr>
        <w:t>rading on the</w:t>
      </w:r>
      <w:r>
        <w:rPr>
          <w:b/>
          <w:kern w:val="0"/>
          <w:sz w:val="24"/>
        </w:rPr>
        <w:t xml:space="preserve"> foreign-exchange market </w:t>
      </w:r>
      <w:r>
        <w:rPr>
          <w:rFonts w:hint="eastAsia"/>
          <w:b/>
          <w:kern w:val="0"/>
          <w:sz w:val="24"/>
        </w:rPr>
        <w:t>was</w:t>
      </w:r>
      <w:r>
        <w:rPr>
          <w:b/>
          <w:kern w:val="0"/>
          <w:sz w:val="24"/>
        </w:rPr>
        <w:t xml:space="preserve"> brisk.</w:t>
      </w:r>
      <w:r>
        <w:rPr>
          <w:kern w:val="0"/>
          <w:sz w:val="24"/>
        </w:rPr>
        <w:t xml:space="preserve"> </w:t>
      </w:r>
      <w:r>
        <w:rPr>
          <w:rFonts w:hint="eastAsia"/>
          <w:kern w:val="0"/>
          <w:sz w:val="24"/>
        </w:rPr>
        <w:t>In</w:t>
      </w:r>
      <w:r>
        <w:rPr>
          <w:kern w:val="0"/>
          <w:sz w:val="24"/>
        </w:rPr>
        <w:t xml:space="preserve"> Q1, turnover of spot RMB/foreign-exchange transactions totaled USD 1.5</w:t>
      </w:r>
      <w:r>
        <w:rPr>
          <w:rFonts w:hint="eastAsia"/>
          <w:kern w:val="0"/>
          <w:sz w:val="24"/>
        </w:rPr>
        <w:t xml:space="preserve"> </w:t>
      </w:r>
      <w:r>
        <w:rPr>
          <w:kern w:val="0"/>
          <w:sz w:val="24"/>
        </w:rPr>
        <w:t>trillion, an increase of 13.7 percent year on year. Turnover of RMB/foreign-exchange swap transactions totaled USD</w:t>
      </w:r>
      <w:r>
        <w:rPr>
          <w:rFonts w:hint="eastAsia"/>
          <w:kern w:val="0"/>
          <w:sz w:val="24"/>
        </w:rPr>
        <w:t xml:space="preserve"> 3.</w:t>
      </w:r>
      <w:r>
        <w:rPr>
          <w:kern w:val="0"/>
          <w:sz w:val="24"/>
        </w:rPr>
        <w:t>5 trillion, an increase of 3</w:t>
      </w:r>
      <w:r>
        <w:rPr>
          <w:rFonts w:hint="eastAsia"/>
          <w:kern w:val="0"/>
          <w:sz w:val="24"/>
        </w:rPr>
        <w:t>4.5</w:t>
      </w:r>
      <w:r>
        <w:rPr>
          <w:kern w:val="0"/>
          <w:sz w:val="24"/>
        </w:rPr>
        <w:t xml:space="preserve"> percent year on year. Specifically, overnight RMB/USD swap transactions posted USD 2 trillion, accounting for 56.6 percent of the total swap turnovers. Turnovers on the RMB/foreign-exchange forward market totaled USD </w:t>
      </w:r>
      <w:r>
        <w:rPr>
          <w:rFonts w:hint="eastAsia"/>
          <w:kern w:val="0"/>
          <w:sz w:val="24"/>
        </w:rPr>
        <w:t>1</w:t>
      </w:r>
      <w:r>
        <w:rPr>
          <w:kern w:val="0"/>
          <w:sz w:val="24"/>
        </w:rPr>
        <w:t>9</w:t>
      </w:r>
      <w:r>
        <w:rPr>
          <w:rFonts w:hint="eastAsia"/>
          <w:kern w:val="0"/>
          <w:sz w:val="24"/>
        </w:rPr>
        <w:t>.4</w:t>
      </w:r>
      <w:r>
        <w:rPr>
          <w:kern w:val="0"/>
          <w:sz w:val="24"/>
        </w:rPr>
        <w:t xml:space="preserve"> billion, a decrease of 29.6 percent year on year. Turnovers of foreign-currency pair transactions </w:t>
      </w:r>
      <w:r>
        <w:rPr>
          <w:rFonts w:hint="eastAsia"/>
          <w:kern w:val="0"/>
          <w:sz w:val="24"/>
        </w:rPr>
        <w:t xml:space="preserve">totaled </w:t>
      </w:r>
      <w:r>
        <w:rPr>
          <w:kern w:val="0"/>
          <w:sz w:val="24"/>
        </w:rPr>
        <w:t>USD 32.4 billion, a</w:t>
      </w:r>
      <w:r>
        <w:rPr>
          <w:rFonts w:hint="eastAsia"/>
          <w:kern w:val="0"/>
          <w:sz w:val="24"/>
        </w:rPr>
        <w:t>n</w:t>
      </w:r>
      <w:r>
        <w:rPr>
          <w:kern w:val="0"/>
          <w:sz w:val="24"/>
        </w:rPr>
        <w:t xml:space="preserve"> </w:t>
      </w:r>
      <w:r>
        <w:rPr>
          <w:rFonts w:hint="eastAsia"/>
          <w:kern w:val="0"/>
          <w:sz w:val="24"/>
        </w:rPr>
        <w:t>in</w:t>
      </w:r>
      <w:r>
        <w:rPr>
          <w:kern w:val="0"/>
          <w:sz w:val="24"/>
        </w:rPr>
        <w:t>crease of 30.4 percent year on year. In particular, the EUR/USD pair registered the largest trading volume, accounting for 40.6 percent of the total.</w:t>
      </w:r>
    </w:p>
    <w:p>
      <w:pPr>
        <w:autoSpaceDE w:val="0"/>
        <w:autoSpaceDN w:val="0"/>
        <w:adjustRightInd w:val="0"/>
        <w:rPr>
          <w:kern w:val="0"/>
          <w:sz w:val="24"/>
          <w:szCs w:val="21"/>
        </w:rPr>
      </w:pPr>
    </w:p>
    <w:p>
      <w:pPr>
        <w:autoSpaceDE w:val="0"/>
        <w:autoSpaceDN w:val="0"/>
        <w:adjustRightInd w:val="0"/>
        <w:rPr>
          <w:kern w:val="0"/>
          <w:sz w:val="24"/>
        </w:rPr>
      </w:pPr>
      <w:r>
        <w:rPr>
          <w:b/>
          <w:kern w:val="0"/>
          <w:sz w:val="24"/>
        </w:rPr>
        <w:t xml:space="preserve">Participants on the foreign-exchange market </w:t>
      </w:r>
      <w:r>
        <w:rPr>
          <w:rFonts w:hint="eastAsia"/>
          <w:b/>
          <w:kern w:val="0"/>
          <w:sz w:val="24"/>
        </w:rPr>
        <w:t>increased</w:t>
      </w:r>
      <w:r>
        <w:rPr>
          <w:b/>
          <w:kern w:val="0"/>
          <w:sz w:val="24"/>
        </w:rPr>
        <w:t xml:space="preserve"> further</w:t>
      </w:r>
      <w:r>
        <w:rPr>
          <w:kern w:val="0"/>
          <w:sz w:val="24"/>
        </w:rPr>
        <w:t>. At end-March, there were 654 members on the foreign-exchange spot market, 203 members on the foreign-exchange forward market, 199 members on the foreign-exchange swap market, 1</w:t>
      </w:r>
      <w:r>
        <w:rPr>
          <w:rFonts w:hint="eastAsia"/>
          <w:kern w:val="0"/>
          <w:sz w:val="24"/>
        </w:rPr>
        <w:t>6</w:t>
      </w:r>
      <w:r>
        <w:rPr>
          <w:kern w:val="0"/>
          <w:sz w:val="24"/>
        </w:rPr>
        <w:t>7 members on the currency-swap market, and 119 members on the foreign-exchange options market. There were 32 market-makers on the spot market and 27 market-makers on the forward and swap markets.</w:t>
      </w:r>
    </w:p>
    <w:p>
      <w:pPr>
        <w:rPr>
          <w:rFonts w:eastAsia="仿宋_GB2312"/>
          <w:sz w:val="24"/>
        </w:rPr>
      </w:pPr>
    </w:p>
    <w:p>
      <w:pPr>
        <w:rPr>
          <w:b/>
          <w:sz w:val="24"/>
        </w:rPr>
      </w:pPr>
      <w:r>
        <w:rPr>
          <w:b/>
          <w:sz w:val="24"/>
        </w:rPr>
        <w:t xml:space="preserve">7. Gold prices fluctuated and trading volume </w:t>
      </w:r>
      <w:r>
        <w:rPr>
          <w:rFonts w:hint="eastAsia"/>
          <w:b/>
          <w:sz w:val="24"/>
        </w:rPr>
        <w:t>further expanded</w:t>
      </w:r>
      <w:r>
        <w:rPr>
          <w:b/>
          <w:sz w:val="24"/>
        </w:rPr>
        <w:t>.</w:t>
      </w:r>
      <w:r>
        <w:rPr>
          <w:rFonts w:hint="eastAsia"/>
          <w:b/>
          <w:sz w:val="24"/>
        </w:rPr>
        <w:t xml:space="preserve"> </w:t>
      </w:r>
    </w:p>
    <w:p>
      <w:pPr>
        <w:autoSpaceDE w:val="0"/>
        <w:autoSpaceDN w:val="0"/>
        <w:adjustRightInd w:val="0"/>
        <w:rPr>
          <w:kern w:val="0"/>
          <w:sz w:val="24"/>
        </w:rPr>
      </w:pPr>
      <w:r>
        <w:rPr>
          <w:b/>
          <w:kern w:val="0"/>
          <w:sz w:val="24"/>
        </w:rPr>
        <w:t>Gold prices fluctuated within a moderate range</w:t>
      </w:r>
      <w:r>
        <w:rPr>
          <w:kern w:val="0"/>
          <w:sz w:val="24"/>
        </w:rPr>
        <w:t xml:space="preserve">. In Q1, international gold prices peaked at USD 1,354.95 per ounce and </w:t>
      </w:r>
      <w:r>
        <w:rPr>
          <w:rFonts w:hint="eastAsia"/>
          <w:kern w:val="0"/>
          <w:sz w:val="24"/>
        </w:rPr>
        <w:t>hit</w:t>
      </w:r>
      <w:r>
        <w:rPr>
          <w:kern w:val="0"/>
          <w:sz w:val="24"/>
        </w:rPr>
        <w:t xml:space="preserve"> a trough of USD 1,307.75 per ounce, closing at USD 1,323</w:t>
      </w:r>
      <w:r>
        <w:rPr>
          <w:rFonts w:hint="eastAsia"/>
          <w:kern w:val="0"/>
          <w:sz w:val="24"/>
        </w:rPr>
        <w:t>.</w:t>
      </w:r>
      <w:r>
        <w:rPr>
          <w:kern w:val="0"/>
          <w:sz w:val="24"/>
        </w:rPr>
        <w:t>8</w:t>
      </w:r>
      <w:r>
        <w:rPr>
          <w:rFonts w:hint="eastAsia"/>
          <w:kern w:val="0"/>
          <w:sz w:val="24"/>
        </w:rPr>
        <w:t>5</w:t>
      </w:r>
      <w:r>
        <w:rPr>
          <w:kern w:val="0"/>
          <w:sz w:val="24"/>
        </w:rPr>
        <w:t xml:space="preserve"> per ounce at end-March, representing an increase of 2.</w:t>
      </w:r>
      <w:r>
        <w:rPr>
          <w:rFonts w:hint="eastAsia"/>
          <w:kern w:val="0"/>
          <w:sz w:val="24"/>
        </w:rPr>
        <w:t>11</w:t>
      </w:r>
      <w:r>
        <w:rPr>
          <w:kern w:val="0"/>
          <w:sz w:val="24"/>
        </w:rPr>
        <w:t xml:space="preserve"> percent from end-</w:t>
      </w:r>
      <w:r>
        <w:rPr>
          <w:rFonts w:hint="eastAsia"/>
          <w:kern w:val="0"/>
          <w:sz w:val="24"/>
        </w:rPr>
        <w:t>201</w:t>
      </w:r>
      <w:r>
        <w:rPr>
          <w:kern w:val="0"/>
          <w:sz w:val="24"/>
        </w:rPr>
        <w:t>7</w:t>
      </w:r>
      <w:r>
        <w:rPr>
          <w:rFonts w:hint="eastAsia"/>
          <w:kern w:val="0"/>
          <w:sz w:val="24"/>
        </w:rPr>
        <w:t>.</w:t>
      </w:r>
      <w:r>
        <w:rPr>
          <w:kern w:val="0"/>
          <w:sz w:val="24"/>
        </w:rPr>
        <w:t xml:space="preserve"> The peak and trough prices of gold (AU9999) on the Shanghai Gold Exchange were RMB 280.</w:t>
      </w:r>
      <w:r>
        <w:rPr>
          <w:rFonts w:hint="eastAsia"/>
          <w:kern w:val="0"/>
          <w:sz w:val="24"/>
        </w:rPr>
        <w:t xml:space="preserve">00 </w:t>
      </w:r>
      <w:r>
        <w:rPr>
          <w:kern w:val="0"/>
          <w:sz w:val="24"/>
        </w:rPr>
        <w:t>per gram and RMB 267.55 per gram, respectively. At end-March, the AU9999</w:t>
      </w:r>
      <w:r>
        <w:rPr>
          <w:rFonts w:hint="eastAsia"/>
          <w:kern w:val="0"/>
          <w:sz w:val="24"/>
        </w:rPr>
        <w:t xml:space="preserve"> on the </w:t>
      </w:r>
      <w:r>
        <w:rPr>
          <w:kern w:val="0"/>
          <w:sz w:val="24"/>
        </w:rPr>
        <w:t>Shanghai Gold Exchange closed at RMB 270.56 per gram, a decrease of 0.89 percent from end-</w:t>
      </w:r>
      <w:r>
        <w:rPr>
          <w:rFonts w:hint="eastAsia"/>
          <w:kern w:val="0"/>
          <w:sz w:val="24"/>
        </w:rPr>
        <w:t>2017</w:t>
      </w:r>
      <w:r>
        <w:rPr>
          <w:kern w:val="0"/>
          <w:sz w:val="24"/>
        </w:rPr>
        <w:t>.</w:t>
      </w:r>
    </w:p>
    <w:p>
      <w:pPr>
        <w:autoSpaceDE w:val="0"/>
        <w:autoSpaceDN w:val="0"/>
        <w:adjustRightInd w:val="0"/>
        <w:rPr>
          <w:kern w:val="0"/>
          <w:sz w:val="24"/>
        </w:rPr>
      </w:pPr>
    </w:p>
    <w:p>
      <w:pPr>
        <w:autoSpaceDE w:val="0"/>
        <w:autoSpaceDN w:val="0"/>
        <w:adjustRightInd w:val="0"/>
        <w:rPr>
          <w:kern w:val="0"/>
          <w:sz w:val="24"/>
        </w:rPr>
      </w:pPr>
      <w:r>
        <w:rPr>
          <w:rFonts w:hint="eastAsia"/>
          <w:kern w:val="0"/>
          <w:sz w:val="24"/>
        </w:rPr>
        <w:t>T</w:t>
      </w:r>
      <w:r>
        <w:rPr>
          <w:kern w:val="0"/>
          <w:sz w:val="24"/>
        </w:rPr>
        <w:t xml:space="preserve">he trading volume on the Shanghai Gold Exchange grew </w:t>
      </w:r>
      <w:r>
        <w:rPr>
          <w:rFonts w:hint="eastAsia"/>
          <w:kern w:val="0"/>
          <w:sz w:val="24"/>
        </w:rPr>
        <w:t>continuously</w:t>
      </w:r>
      <w:r>
        <w:rPr>
          <w:kern w:val="0"/>
          <w:sz w:val="24"/>
        </w:rPr>
        <w:t xml:space="preserve">. </w:t>
      </w:r>
      <w:r>
        <w:rPr>
          <w:rFonts w:hint="eastAsia"/>
          <w:kern w:val="0"/>
          <w:sz w:val="24"/>
        </w:rPr>
        <w:t>In</w:t>
      </w:r>
      <w:r>
        <w:rPr>
          <w:kern w:val="0"/>
          <w:sz w:val="24"/>
        </w:rPr>
        <w:t xml:space="preserve"> Q1, the volume of gold trading on the Shanghai Gold Exchange was 13,000 tons, a</w:t>
      </w:r>
      <w:r>
        <w:rPr>
          <w:rFonts w:hint="eastAsia"/>
          <w:kern w:val="0"/>
          <w:sz w:val="24"/>
        </w:rPr>
        <w:t>n</w:t>
      </w:r>
      <w:r>
        <w:rPr>
          <w:kern w:val="0"/>
          <w:sz w:val="24"/>
        </w:rPr>
        <w:t xml:space="preserve"> </w:t>
      </w:r>
      <w:r>
        <w:rPr>
          <w:rFonts w:hint="eastAsia"/>
          <w:kern w:val="0"/>
          <w:sz w:val="24"/>
        </w:rPr>
        <w:t>in</w:t>
      </w:r>
      <w:r>
        <w:rPr>
          <w:kern w:val="0"/>
          <w:sz w:val="24"/>
        </w:rPr>
        <w:t>crease of 14.07 percent year on year, and the turnover posted RMB 3.56 trillion, an increase of 1</w:t>
      </w:r>
      <w:r>
        <w:rPr>
          <w:rFonts w:hint="eastAsia"/>
          <w:kern w:val="0"/>
          <w:sz w:val="24"/>
        </w:rPr>
        <w:t>4.45</w:t>
      </w:r>
      <w:r>
        <w:rPr>
          <w:kern w:val="0"/>
          <w:sz w:val="24"/>
        </w:rPr>
        <w:t xml:space="preserve"> percent year on year. </w:t>
      </w:r>
      <w:r>
        <w:rPr>
          <w:rFonts w:hint="eastAsia"/>
          <w:sz w:val="24"/>
        </w:rPr>
        <w:t>T</w:t>
      </w:r>
      <w:r>
        <w:rPr>
          <w:sz w:val="24"/>
        </w:rPr>
        <w:t xml:space="preserve">he trading volume of </w:t>
      </w:r>
      <w:r>
        <w:rPr>
          <w:rFonts w:hint="eastAsia"/>
          <w:sz w:val="24"/>
        </w:rPr>
        <w:t>silver</w:t>
      </w:r>
      <w:r>
        <w:rPr>
          <w:sz w:val="24"/>
        </w:rPr>
        <w:t xml:space="preserve"> was </w:t>
      </w:r>
      <w:r>
        <w:rPr>
          <w:rFonts w:hint="eastAsia"/>
          <w:sz w:val="24"/>
        </w:rPr>
        <w:t>2</w:t>
      </w:r>
      <w:r>
        <w:rPr>
          <w:sz w:val="24"/>
        </w:rPr>
        <w:t>07,400 tons, a fall of 23.51 percent year on year, and the turnover posted RMB 764.8</w:t>
      </w:r>
      <w:r>
        <w:rPr>
          <w:rFonts w:hint="eastAsia"/>
          <w:sz w:val="24"/>
        </w:rPr>
        <w:t xml:space="preserve">49 </w:t>
      </w:r>
      <w:r>
        <w:rPr>
          <w:sz w:val="24"/>
        </w:rPr>
        <w:t xml:space="preserve">billion, a decrease of 30.83 percent year on year. </w:t>
      </w:r>
      <w:r>
        <w:rPr>
          <w:rFonts w:hint="eastAsia"/>
          <w:sz w:val="24"/>
        </w:rPr>
        <w:t>T</w:t>
      </w:r>
      <w:r>
        <w:rPr>
          <w:sz w:val="24"/>
        </w:rPr>
        <w:t xml:space="preserve">he trading volume of </w:t>
      </w:r>
      <w:r>
        <w:rPr>
          <w:rFonts w:hint="eastAsia"/>
          <w:sz w:val="24"/>
        </w:rPr>
        <w:t>platinum</w:t>
      </w:r>
      <w:r>
        <w:rPr>
          <w:sz w:val="24"/>
        </w:rPr>
        <w:t xml:space="preserve"> was </w:t>
      </w:r>
      <w:r>
        <w:rPr>
          <w:rFonts w:hint="eastAsia"/>
          <w:sz w:val="24"/>
        </w:rPr>
        <w:t>9</w:t>
      </w:r>
      <w:r>
        <w:rPr>
          <w:sz w:val="24"/>
        </w:rPr>
        <w:t xml:space="preserve">8,600 tons, an increase of </w:t>
      </w:r>
      <w:r>
        <w:rPr>
          <w:rFonts w:hint="eastAsia"/>
          <w:sz w:val="24"/>
        </w:rPr>
        <w:t>3.35</w:t>
      </w:r>
      <w:r>
        <w:rPr>
          <w:sz w:val="24"/>
        </w:rPr>
        <w:t xml:space="preserve"> percent year on year, and the turnover posted RMB</w:t>
      </w:r>
      <w:r>
        <w:rPr>
          <w:rFonts w:hint="eastAsia"/>
          <w:sz w:val="24"/>
        </w:rPr>
        <w:t xml:space="preserve"> 2</w:t>
      </w:r>
      <w:r>
        <w:rPr>
          <w:sz w:val="24"/>
        </w:rPr>
        <w:t xml:space="preserve">.11 </w:t>
      </w:r>
      <w:r>
        <w:rPr>
          <w:rFonts w:hint="eastAsia"/>
          <w:sz w:val="24"/>
        </w:rPr>
        <w:t>b</w:t>
      </w:r>
      <w:r>
        <w:rPr>
          <w:sz w:val="24"/>
        </w:rPr>
        <w:t xml:space="preserve">illion, a </w:t>
      </w:r>
      <w:r>
        <w:rPr>
          <w:rFonts w:hint="eastAsia"/>
          <w:sz w:val="24"/>
        </w:rPr>
        <w:t xml:space="preserve">decline </w:t>
      </w:r>
      <w:r>
        <w:rPr>
          <w:sz w:val="24"/>
        </w:rPr>
        <w:t>of 4.98 percent year on year.</w:t>
      </w:r>
    </w:p>
    <w:p>
      <w:pPr>
        <w:rPr>
          <w:sz w:val="24"/>
          <w:szCs w:val="21"/>
        </w:rPr>
      </w:pPr>
    </w:p>
    <w:p>
      <w:pPr>
        <w:pStyle w:val="3"/>
        <w:keepLines w:val="0"/>
        <w:widowControl/>
        <w:spacing w:before="0" w:after="0"/>
        <w:ind w:firstLine="0" w:firstLineChars="0"/>
        <w:rPr>
          <w:rFonts w:ascii="Times New Roman" w:hAnsi="Times New Roman"/>
          <w:iCs/>
          <w:kern w:val="0"/>
          <w:sz w:val="24"/>
          <w:szCs w:val="24"/>
          <w:lang w:eastAsia="zh-TW"/>
        </w:rPr>
      </w:pPr>
      <w:bookmarkStart w:id="111" w:name="_Toc505346999"/>
      <w:bookmarkStart w:id="112" w:name="_Toc517190517"/>
      <w:r>
        <w:rPr>
          <w:rFonts w:ascii="Times New Roman" w:hAnsi="Times New Roman"/>
          <w:iCs/>
          <w:kern w:val="0"/>
          <w:sz w:val="24"/>
          <w:szCs w:val="24"/>
          <w:lang w:eastAsia="zh-TW"/>
        </w:rPr>
        <w:t xml:space="preserve">II. </w:t>
      </w:r>
      <w:r>
        <w:rPr>
          <w:rFonts w:hint="eastAsia" w:ascii="Times New Roman" w:hAnsi="Times New Roman"/>
          <w:iCs/>
          <w:kern w:val="0"/>
          <w:sz w:val="24"/>
          <w:szCs w:val="24"/>
        </w:rPr>
        <w:t>Progress</w:t>
      </w:r>
      <w:r>
        <w:rPr>
          <w:rFonts w:ascii="Times New Roman" w:hAnsi="Times New Roman"/>
          <w:iCs/>
          <w:kern w:val="0"/>
          <w:sz w:val="24"/>
          <w:szCs w:val="24"/>
          <w:lang w:eastAsia="zh-TW"/>
        </w:rPr>
        <w:t xml:space="preserve"> in Financial-Market</w:t>
      </w:r>
      <w:r>
        <w:rPr>
          <w:rFonts w:hint="eastAsia" w:ascii="Times New Roman" w:hAnsi="Times New Roman"/>
          <w:iCs/>
          <w:kern w:val="0"/>
          <w:sz w:val="24"/>
          <w:szCs w:val="24"/>
        </w:rPr>
        <w:t xml:space="preserve"> </w:t>
      </w:r>
      <w:r>
        <w:rPr>
          <w:rFonts w:ascii="Times New Roman" w:hAnsi="Times New Roman"/>
          <w:iCs/>
          <w:kern w:val="0"/>
          <w:sz w:val="24"/>
          <w:szCs w:val="24"/>
          <w:lang w:eastAsia="zh-TW"/>
        </w:rPr>
        <w:t>Institutional Arrangements</w:t>
      </w:r>
      <w:bookmarkEnd w:id="111"/>
      <w:bookmarkEnd w:id="112"/>
    </w:p>
    <w:p>
      <w:pPr>
        <w:rPr>
          <w:rFonts w:eastAsia="PMingLiU"/>
          <w:lang w:eastAsia="zh-TW"/>
        </w:rPr>
      </w:pPr>
    </w:p>
    <w:p>
      <w:pPr>
        <w:pStyle w:val="123"/>
        <w:numPr>
          <w:ilvl w:val="0"/>
          <w:numId w:val="10"/>
        </w:numPr>
        <w:ind w:firstLineChars="0"/>
        <w:rPr>
          <w:rFonts w:ascii="Times New Roman" w:hAnsi="Times New Roman"/>
          <w:b/>
          <w:kern w:val="0"/>
          <w:sz w:val="24"/>
          <w:szCs w:val="24"/>
        </w:rPr>
      </w:pPr>
      <w:r>
        <w:rPr>
          <w:rFonts w:ascii="Times New Roman" w:hAnsi="Times New Roman"/>
          <w:b/>
          <w:kern w:val="0"/>
          <w:sz w:val="24"/>
          <w:szCs w:val="24"/>
        </w:rPr>
        <w:t xml:space="preserve">Developments </w:t>
      </w:r>
      <w:r>
        <w:rPr>
          <w:rFonts w:hint="eastAsia" w:ascii="Times New Roman" w:hAnsi="Times New Roman"/>
          <w:b/>
          <w:kern w:val="0"/>
          <w:sz w:val="24"/>
          <w:szCs w:val="24"/>
        </w:rPr>
        <w:t xml:space="preserve">in </w:t>
      </w:r>
      <w:r>
        <w:rPr>
          <w:rFonts w:ascii="Times New Roman" w:hAnsi="Times New Roman"/>
          <w:b/>
          <w:kern w:val="0"/>
          <w:sz w:val="24"/>
          <w:szCs w:val="24"/>
        </w:rPr>
        <w:t xml:space="preserve">the inter-bank bond market </w:t>
      </w:r>
    </w:p>
    <w:p>
      <w:pPr>
        <w:pStyle w:val="160"/>
        <w:rPr>
          <w:b/>
          <w:sz w:val="24"/>
        </w:rPr>
      </w:pPr>
    </w:p>
    <w:p>
      <w:pPr>
        <w:pStyle w:val="160"/>
        <w:rPr>
          <w:sz w:val="24"/>
        </w:rPr>
      </w:pPr>
      <w:r>
        <w:rPr>
          <w:b/>
          <w:sz w:val="24"/>
        </w:rPr>
        <w:t>First, product innovations in the inter-bank bond market were promoted.</w:t>
      </w:r>
      <w:r>
        <w:rPr>
          <w:sz w:val="24"/>
        </w:rPr>
        <w:t xml:space="preserve"> PBC Public Notice No. 3 [2018] was issued, which regulated the capital </w:t>
      </w:r>
      <w:r>
        <w:rPr>
          <w:rFonts w:hint="eastAsia"/>
          <w:sz w:val="24"/>
        </w:rPr>
        <w:t xml:space="preserve">supplemental </w:t>
      </w:r>
      <w:r>
        <w:rPr>
          <w:sz w:val="24"/>
        </w:rPr>
        <w:t xml:space="preserve">bond issuance of financial institutions, clarified the definition and classification </w:t>
      </w:r>
      <w:r>
        <w:rPr>
          <w:rFonts w:hint="eastAsia"/>
          <w:sz w:val="24"/>
        </w:rPr>
        <w:t xml:space="preserve">of such bonds </w:t>
      </w:r>
      <w:r>
        <w:rPr>
          <w:sz w:val="24"/>
        </w:rPr>
        <w:t xml:space="preserve">and the </w:t>
      </w:r>
      <w:r>
        <w:rPr>
          <w:rFonts w:hint="eastAsia"/>
          <w:sz w:val="24"/>
        </w:rPr>
        <w:t xml:space="preserve">issuance application </w:t>
      </w:r>
      <w:r>
        <w:rPr>
          <w:sz w:val="24"/>
        </w:rPr>
        <w:t xml:space="preserve">requirements, and allowed the issuance of </w:t>
      </w:r>
      <w:r>
        <w:rPr>
          <w:rFonts w:hint="eastAsia"/>
          <w:sz w:val="24"/>
        </w:rPr>
        <w:t xml:space="preserve">capital supplemental </w:t>
      </w:r>
      <w:r>
        <w:rPr>
          <w:sz w:val="24"/>
        </w:rPr>
        <w:t xml:space="preserve">bonds with no fixed maturity. It also encouraged the issuance of new types of bonds </w:t>
      </w:r>
      <w:r>
        <w:rPr>
          <w:rFonts w:hint="eastAsia"/>
          <w:sz w:val="24"/>
        </w:rPr>
        <w:t>with innovative</w:t>
      </w:r>
      <w:r>
        <w:rPr>
          <w:sz w:val="24"/>
        </w:rPr>
        <w:t xml:space="preserve"> loss-absorbing capacity or </w:t>
      </w:r>
      <w:r>
        <w:rPr>
          <w:rFonts w:hint="eastAsia"/>
          <w:sz w:val="24"/>
        </w:rPr>
        <w:t xml:space="preserve">with </w:t>
      </w:r>
      <w:r>
        <w:rPr>
          <w:sz w:val="24"/>
        </w:rPr>
        <w:t>triggering conditions</w:t>
      </w:r>
      <w:r>
        <w:rPr>
          <w:rFonts w:hint="eastAsia"/>
          <w:sz w:val="24"/>
        </w:rPr>
        <w:t xml:space="preserve"> to</w:t>
      </w:r>
      <w:r>
        <w:rPr>
          <w:sz w:val="24"/>
        </w:rPr>
        <w:t xml:space="preserve"> effectively enhance</w:t>
      </w:r>
      <w:r>
        <w:rPr>
          <w:rFonts w:hint="eastAsia"/>
          <w:sz w:val="24"/>
        </w:rPr>
        <w:t xml:space="preserve"> </w:t>
      </w:r>
      <w:r>
        <w:rPr>
          <w:sz w:val="24"/>
        </w:rPr>
        <w:t xml:space="preserve">the </w:t>
      </w:r>
      <w:r>
        <w:rPr>
          <w:rFonts w:hint="eastAsia"/>
          <w:sz w:val="24"/>
        </w:rPr>
        <w:t>loss-absorbing capacity</w:t>
      </w:r>
      <w:r>
        <w:rPr>
          <w:sz w:val="24"/>
        </w:rPr>
        <w:t xml:space="preserve"> of </w:t>
      </w:r>
      <w:r>
        <w:rPr>
          <w:rFonts w:hint="eastAsia"/>
          <w:sz w:val="24"/>
        </w:rPr>
        <w:t>banking</w:t>
      </w:r>
      <w:r>
        <w:rPr>
          <w:sz w:val="24"/>
        </w:rPr>
        <w:t xml:space="preserve"> institutions. </w:t>
      </w:r>
    </w:p>
    <w:p>
      <w:pPr>
        <w:autoSpaceDN w:val="0"/>
        <w:rPr>
          <w:b/>
          <w:kern w:val="0"/>
          <w:sz w:val="24"/>
        </w:rPr>
      </w:pPr>
    </w:p>
    <w:p>
      <w:pPr>
        <w:autoSpaceDN w:val="0"/>
        <w:rPr>
          <w:kern w:val="0"/>
          <w:sz w:val="24"/>
        </w:rPr>
      </w:pPr>
      <w:r>
        <w:rPr>
          <w:b/>
          <w:kern w:val="0"/>
          <w:sz w:val="24"/>
        </w:rPr>
        <w:t>Se</w:t>
      </w:r>
      <w:r>
        <w:rPr>
          <w:rFonts w:hint="eastAsia"/>
          <w:b/>
          <w:kern w:val="0"/>
          <w:sz w:val="24"/>
        </w:rPr>
        <w:t xml:space="preserve">cond, regulation of green </w:t>
      </w:r>
      <w:r>
        <w:rPr>
          <w:b/>
          <w:kern w:val="0"/>
          <w:sz w:val="24"/>
        </w:rPr>
        <w:t>bonds was improved.</w:t>
      </w:r>
      <w:r>
        <w:rPr>
          <w:kern w:val="0"/>
          <w:sz w:val="24"/>
        </w:rPr>
        <w:t xml:space="preserve"> The PBC issued </w:t>
      </w:r>
      <w:r>
        <w:rPr>
          <w:i/>
          <w:kern w:val="0"/>
          <w:sz w:val="24"/>
        </w:rPr>
        <w:t xml:space="preserve">Notice on Strengthening Regulation </w:t>
      </w:r>
      <w:r>
        <w:rPr>
          <w:rFonts w:hint="eastAsia"/>
          <w:i/>
          <w:kern w:val="0"/>
          <w:sz w:val="24"/>
        </w:rPr>
        <w:t xml:space="preserve">throughout the Duration of </w:t>
      </w:r>
      <w:r>
        <w:rPr>
          <w:i/>
          <w:kern w:val="0"/>
          <w:sz w:val="24"/>
        </w:rPr>
        <w:t>Green Bonds.</w:t>
      </w:r>
      <w:r>
        <w:rPr>
          <w:kern w:val="0"/>
          <w:sz w:val="24"/>
        </w:rPr>
        <w:t xml:space="preserve"> It further strengthened supervision and inspection of the use of funds raised through the duration of green bonds, monitoring and </w:t>
      </w:r>
      <w:r>
        <w:rPr>
          <w:rFonts w:hint="eastAsia"/>
          <w:kern w:val="0"/>
          <w:sz w:val="24"/>
        </w:rPr>
        <w:t xml:space="preserve">assessment </w:t>
      </w:r>
      <w:r>
        <w:rPr>
          <w:kern w:val="0"/>
          <w:sz w:val="24"/>
        </w:rPr>
        <w:t>of information disclosures, and rectif</w:t>
      </w:r>
      <w:r>
        <w:rPr>
          <w:rFonts w:hint="eastAsia"/>
          <w:kern w:val="0"/>
          <w:sz w:val="24"/>
        </w:rPr>
        <w:t xml:space="preserve">ication </w:t>
      </w:r>
      <w:r>
        <w:rPr>
          <w:kern w:val="0"/>
          <w:sz w:val="24"/>
        </w:rPr>
        <w:t xml:space="preserve">of the </w:t>
      </w:r>
      <w:r>
        <w:rPr>
          <w:rFonts w:hint="eastAsia"/>
          <w:kern w:val="0"/>
          <w:sz w:val="24"/>
        </w:rPr>
        <w:t>existing</w:t>
      </w:r>
      <w:r>
        <w:rPr>
          <w:kern w:val="0"/>
          <w:sz w:val="24"/>
        </w:rPr>
        <w:t xml:space="preserve"> problems, </w:t>
      </w:r>
      <w:r>
        <w:rPr>
          <w:rFonts w:hint="eastAsia"/>
          <w:kern w:val="0"/>
          <w:sz w:val="24"/>
        </w:rPr>
        <w:t>to enforce regulation</w:t>
      </w:r>
      <w:r>
        <w:rPr>
          <w:kern w:val="0"/>
          <w:sz w:val="24"/>
        </w:rPr>
        <w:t xml:space="preserve"> </w:t>
      </w:r>
      <w:r>
        <w:rPr>
          <w:rFonts w:hint="eastAsia"/>
          <w:kern w:val="0"/>
          <w:sz w:val="24"/>
        </w:rPr>
        <w:t>throughout the duration of</w:t>
      </w:r>
      <w:r>
        <w:rPr>
          <w:kern w:val="0"/>
          <w:sz w:val="24"/>
        </w:rPr>
        <w:t xml:space="preserve"> green bonds</w:t>
      </w:r>
      <w:r>
        <w:rPr>
          <w:rFonts w:hint="eastAsia"/>
          <w:kern w:val="0"/>
          <w:sz w:val="24"/>
        </w:rPr>
        <w:t xml:space="preserve"> and </w:t>
      </w:r>
      <w:r>
        <w:rPr>
          <w:kern w:val="0"/>
          <w:sz w:val="24"/>
        </w:rPr>
        <w:t xml:space="preserve">to </w:t>
      </w:r>
      <w:r>
        <w:rPr>
          <w:rFonts w:hint="eastAsia"/>
          <w:kern w:val="0"/>
          <w:sz w:val="24"/>
        </w:rPr>
        <w:t xml:space="preserve">make sure the </w:t>
      </w:r>
      <w:r>
        <w:rPr>
          <w:kern w:val="0"/>
          <w:sz w:val="24"/>
        </w:rPr>
        <w:t xml:space="preserve">issuers </w:t>
      </w:r>
      <w:r>
        <w:rPr>
          <w:rFonts w:hint="eastAsia"/>
          <w:kern w:val="0"/>
          <w:sz w:val="24"/>
        </w:rPr>
        <w:t>will</w:t>
      </w:r>
      <w:r>
        <w:rPr>
          <w:kern w:val="0"/>
          <w:sz w:val="24"/>
        </w:rPr>
        <w:t xml:space="preserve"> step up their support for green development. </w:t>
      </w:r>
    </w:p>
    <w:p>
      <w:pPr>
        <w:autoSpaceDN w:val="0"/>
        <w:rPr>
          <w:kern w:val="0"/>
          <w:sz w:val="24"/>
        </w:rPr>
      </w:pPr>
    </w:p>
    <w:p>
      <w:pPr>
        <w:autoSpaceDN w:val="0"/>
        <w:rPr>
          <w:b/>
          <w:kern w:val="0"/>
          <w:sz w:val="24"/>
        </w:rPr>
      </w:pPr>
      <w:r>
        <w:rPr>
          <w:b/>
          <w:kern w:val="0"/>
          <w:sz w:val="24"/>
        </w:rPr>
        <w:t>2. Unification of regulatory standards for the asset-management business was accelerated</w:t>
      </w:r>
    </w:p>
    <w:p>
      <w:pPr>
        <w:autoSpaceDN w:val="0"/>
        <w:rPr>
          <w:b/>
          <w:kern w:val="0"/>
          <w:sz w:val="24"/>
        </w:rPr>
      </w:pPr>
    </w:p>
    <w:p>
      <w:pPr>
        <w:rPr>
          <w:sz w:val="24"/>
        </w:rPr>
      </w:pPr>
      <w:r>
        <w:rPr>
          <w:rFonts w:hint="eastAsia"/>
          <w:kern w:val="0"/>
          <w:sz w:val="24"/>
        </w:rPr>
        <w:t>I</w:t>
      </w:r>
      <w:r>
        <w:rPr>
          <w:kern w:val="0"/>
          <w:sz w:val="24"/>
        </w:rPr>
        <w:t xml:space="preserve">n order to implement the </w:t>
      </w:r>
      <w:r>
        <w:rPr>
          <w:rFonts w:hint="eastAsia"/>
          <w:kern w:val="0"/>
          <w:sz w:val="24"/>
        </w:rPr>
        <w:t xml:space="preserve">spirit </w:t>
      </w:r>
      <w:r>
        <w:rPr>
          <w:kern w:val="0"/>
          <w:sz w:val="24"/>
        </w:rPr>
        <w:t xml:space="preserve">of the 19th National Congress of the CPC and the arrangement to fight the uphill battle of preventing and resolving major risks, in collaboration with the relevant departments, the PBC accelerated promulgation of the </w:t>
      </w:r>
      <w:r>
        <w:rPr>
          <w:i/>
          <w:kern w:val="0"/>
          <w:sz w:val="24"/>
        </w:rPr>
        <w:t xml:space="preserve">Guidelines on Regulating the Asset-Management Business of Financial Institutions </w:t>
      </w:r>
      <w:r>
        <w:rPr>
          <w:kern w:val="0"/>
          <w:sz w:val="24"/>
        </w:rPr>
        <w:t>(hereafter referred to as the Guidelines).</w:t>
      </w:r>
      <w:r>
        <w:rPr>
          <w:rFonts w:eastAsia="仿宋_GB2312" w:cs="仿宋_GB2312"/>
          <w:sz w:val="24"/>
          <w:szCs w:val="28"/>
        </w:rPr>
        <w:t xml:space="preserve"> On March 28, 2018, the first meeting of t</w:t>
      </w:r>
      <w:r>
        <w:rPr>
          <w:sz w:val="24"/>
        </w:rPr>
        <w:t xml:space="preserve">he </w:t>
      </w:r>
      <w:r>
        <w:rPr>
          <w:rFonts w:hint="eastAsia"/>
          <w:bCs/>
          <w:sz w:val="24"/>
        </w:rPr>
        <w:t>CPC Committee on</w:t>
      </w:r>
      <w:r>
        <w:rPr>
          <w:bCs/>
          <w:sz w:val="24"/>
        </w:rPr>
        <w:t xml:space="preserve"> Comprehensively Deepening Reforms </w:t>
      </w:r>
      <w:r>
        <w:rPr>
          <w:rFonts w:eastAsia="仿宋_GB2312" w:cs="仿宋_GB2312"/>
          <w:sz w:val="24"/>
          <w:szCs w:val="28"/>
        </w:rPr>
        <w:t xml:space="preserve">deliberated </w:t>
      </w:r>
      <w:r>
        <w:rPr>
          <w:rFonts w:hint="eastAsia" w:eastAsia="仿宋_GB2312" w:cs="仿宋_GB2312"/>
          <w:sz w:val="24"/>
          <w:szCs w:val="28"/>
        </w:rPr>
        <w:t xml:space="preserve">on </w:t>
      </w:r>
      <w:r>
        <w:rPr>
          <w:rFonts w:eastAsia="仿宋_GB2312" w:cs="仿宋_GB2312"/>
          <w:sz w:val="24"/>
          <w:szCs w:val="28"/>
        </w:rPr>
        <w:t xml:space="preserve">and </w:t>
      </w:r>
      <w:r>
        <w:rPr>
          <w:rFonts w:hint="eastAsia" w:eastAsia="仿宋_GB2312" w:cs="仿宋_GB2312"/>
          <w:sz w:val="24"/>
          <w:szCs w:val="28"/>
        </w:rPr>
        <w:t>endorsed</w:t>
      </w:r>
      <w:r>
        <w:rPr>
          <w:rFonts w:eastAsia="仿宋_GB2312" w:cs="仿宋_GB2312"/>
          <w:sz w:val="24"/>
          <w:szCs w:val="28"/>
        </w:rPr>
        <w:t xml:space="preserve"> the Guidelines.</w:t>
      </w:r>
      <w:r>
        <w:rPr>
          <w:rFonts w:hint="eastAsia"/>
          <w:sz w:val="24"/>
        </w:rPr>
        <w:t xml:space="preserve"> W</w:t>
      </w:r>
      <w:r>
        <w:rPr>
          <w:sz w:val="24"/>
        </w:rPr>
        <w:t xml:space="preserve">ith the approval of the State Council, the PBC, together with the China Banking and Insurance Regulatory Commission (CBRIC), the China Securities Regulatory Commission (CSRC), and the State Administration of Foreign Exchange (SAFE), on April 27, 2018 issued the </w:t>
      </w:r>
      <w:r>
        <w:rPr>
          <w:i/>
          <w:sz w:val="24"/>
        </w:rPr>
        <w:t>Guidelines on Regulating the Asset-Management Business of Financial Institutions</w:t>
      </w:r>
      <w:r>
        <w:rPr>
          <w:sz w:val="24"/>
        </w:rPr>
        <w:t xml:space="preserve">. </w:t>
      </w:r>
      <w:r>
        <w:rPr>
          <w:rFonts w:hint="eastAsia"/>
          <w:sz w:val="24"/>
        </w:rPr>
        <w:t>The Guideline</w:t>
      </w:r>
      <w:r>
        <w:rPr>
          <w:sz w:val="24"/>
        </w:rPr>
        <w:t>s</w:t>
      </w:r>
      <w:r>
        <w:rPr>
          <w:rFonts w:hint="eastAsia"/>
          <w:sz w:val="24"/>
        </w:rPr>
        <w:t xml:space="preserve"> follow the principle of </w:t>
      </w:r>
      <w:r>
        <w:rPr>
          <w:sz w:val="24"/>
        </w:rPr>
        <w:t xml:space="preserve">bottom-line thinking </w:t>
      </w:r>
      <w:r>
        <w:rPr>
          <w:rFonts w:hint="eastAsia"/>
          <w:sz w:val="24"/>
        </w:rPr>
        <w:t>in</w:t>
      </w:r>
      <w:r>
        <w:rPr>
          <w:sz w:val="24"/>
        </w:rPr>
        <w:t xml:space="preserve"> strictly controlling risks</w:t>
      </w:r>
      <w:r>
        <w:rPr>
          <w:rFonts w:hint="eastAsia"/>
          <w:sz w:val="24"/>
        </w:rPr>
        <w:t xml:space="preserve">, aim to achieve </w:t>
      </w:r>
      <w:r>
        <w:rPr>
          <w:sz w:val="24"/>
        </w:rPr>
        <w:t>the fundamental objective of serving the real economy</w:t>
      </w:r>
      <w:r>
        <w:rPr>
          <w:rFonts w:hint="eastAsia"/>
          <w:sz w:val="24"/>
        </w:rPr>
        <w:t xml:space="preserve"> and implement</w:t>
      </w:r>
      <w:r>
        <w:rPr>
          <w:sz w:val="24"/>
        </w:rPr>
        <w:t>ing</w:t>
      </w:r>
      <w:r>
        <w:rPr>
          <w:rFonts w:hint="eastAsia"/>
          <w:sz w:val="24"/>
        </w:rPr>
        <w:t xml:space="preserve"> </w:t>
      </w:r>
      <w:r>
        <w:rPr>
          <w:sz w:val="24"/>
        </w:rPr>
        <w:t>t</w:t>
      </w:r>
      <w:r>
        <w:rPr>
          <w:rFonts w:cs="Arial"/>
          <w:sz w:val="24"/>
          <w:szCs w:val="18"/>
        </w:rPr>
        <w:t xml:space="preserve">he regulatory </w:t>
      </w:r>
      <w:r>
        <w:rPr>
          <w:rFonts w:hint="eastAsia" w:cs="Arial"/>
          <w:sz w:val="24"/>
          <w:szCs w:val="18"/>
        </w:rPr>
        <w:t xml:space="preserve">philosophy of </w:t>
      </w:r>
      <w:r>
        <w:rPr>
          <w:rFonts w:cs="Arial"/>
          <w:sz w:val="24"/>
          <w:szCs w:val="18"/>
        </w:rPr>
        <w:t xml:space="preserve">combining macro prudential </w:t>
      </w:r>
      <w:r>
        <w:rPr>
          <w:rFonts w:hint="eastAsia" w:cs="Arial"/>
          <w:sz w:val="24"/>
          <w:szCs w:val="18"/>
        </w:rPr>
        <w:t>management</w:t>
      </w:r>
      <w:r>
        <w:rPr>
          <w:rFonts w:cs="Arial"/>
          <w:sz w:val="24"/>
          <w:szCs w:val="18"/>
        </w:rPr>
        <w:t xml:space="preserve"> with micro prudential regulation</w:t>
      </w:r>
      <w:r>
        <w:rPr>
          <w:sz w:val="24"/>
        </w:rPr>
        <w:t xml:space="preserve">, </w:t>
      </w:r>
      <w:r>
        <w:rPr>
          <w:rFonts w:hint="eastAsia"/>
          <w:sz w:val="24"/>
        </w:rPr>
        <w:t xml:space="preserve">adopt </w:t>
      </w:r>
      <w:r>
        <w:rPr>
          <w:sz w:val="24"/>
        </w:rPr>
        <w:t xml:space="preserve">an </w:t>
      </w:r>
      <w:r>
        <w:rPr>
          <w:rFonts w:cs="Arial"/>
          <w:sz w:val="24"/>
          <w:szCs w:val="18"/>
        </w:rPr>
        <w:t>objective-</w:t>
      </w:r>
      <w:r>
        <w:rPr>
          <w:rFonts w:hint="eastAsia" w:cs="Arial"/>
          <w:sz w:val="24"/>
          <w:szCs w:val="18"/>
        </w:rPr>
        <w:t>driven</w:t>
      </w:r>
      <w:r>
        <w:rPr>
          <w:rFonts w:cs="Arial"/>
          <w:sz w:val="24"/>
          <w:szCs w:val="18"/>
        </w:rPr>
        <w:t xml:space="preserve"> problem-</w:t>
      </w:r>
      <w:r>
        <w:rPr>
          <w:rFonts w:hint="eastAsia" w:cs="Arial"/>
          <w:sz w:val="24"/>
          <w:szCs w:val="18"/>
        </w:rPr>
        <w:t xml:space="preserve">solving </w:t>
      </w:r>
      <w:r>
        <w:rPr>
          <w:rFonts w:cs="Arial"/>
          <w:sz w:val="24"/>
          <w:szCs w:val="18"/>
        </w:rPr>
        <w:t>orientation</w:t>
      </w:r>
      <w:r>
        <w:rPr>
          <w:sz w:val="24"/>
        </w:rPr>
        <w:t xml:space="preserve"> and a basic </w:t>
      </w:r>
      <w:r>
        <w:rPr>
          <w:rFonts w:hint="eastAsia"/>
          <w:sz w:val="24"/>
        </w:rPr>
        <w:t xml:space="preserve">approach </w:t>
      </w:r>
      <w:r>
        <w:rPr>
          <w:sz w:val="24"/>
        </w:rPr>
        <w:t>of cover</w:t>
      </w:r>
      <w:r>
        <w:rPr>
          <w:rFonts w:hint="eastAsia"/>
          <w:sz w:val="24"/>
        </w:rPr>
        <w:t>ing</w:t>
      </w:r>
      <w:r>
        <w:rPr>
          <w:sz w:val="24"/>
        </w:rPr>
        <w:t xml:space="preserve"> and regulat</w:t>
      </w:r>
      <w:r>
        <w:rPr>
          <w:rFonts w:hint="eastAsia"/>
          <w:sz w:val="24"/>
        </w:rPr>
        <w:t>ing</w:t>
      </w:r>
      <w:r>
        <w:rPr>
          <w:sz w:val="24"/>
        </w:rPr>
        <w:t xml:space="preserve"> the asset-management business of all kinds of financial institutions</w:t>
      </w:r>
      <w:r>
        <w:rPr>
          <w:rFonts w:hint="eastAsia"/>
          <w:sz w:val="24"/>
        </w:rPr>
        <w:t xml:space="preserve"> with a uniform set of standards</w:t>
      </w:r>
      <w:r>
        <w:rPr>
          <w:sz w:val="24"/>
        </w:rPr>
        <w:t>, and implement fair market access and supervision</w:t>
      </w:r>
      <w:r>
        <w:rPr>
          <w:rFonts w:eastAsia="仿宋_GB2312" w:cs="仿宋_GB2312"/>
          <w:sz w:val="24"/>
          <w:szCs w:val="28"/>
        </w:rPr>
        <w:t xml:space="preserve">. </w:t>
      </w:r>
      <w:r>
        <w:rPr>
          <w:sz w:val="24"/>
        </w:rPr>
        <w:t>They</w:t>
      </w:r>
      <w:r>
        <w:rPr>
          <w:rFonts w:hint="eastAsia"/>
          <w:sz w:val="24"/>
        </w:rPr>
        <w:t xml:space="preserve"> </w:t>
      </w:r>
      <w:r>
        <w:rPr>
          <w:sz w:val="24"/>
        </w:rPr>
        <w:t>unify regulatory standard</w:t>
      </w:r>
      <w:r>
        <w:rPr>
          <w:rFonts w:hint="eastAsia"/>
          <w:sz w:val="24"/>
        </w:rPr>
        <w:t>s</w:t>
      </w:r>
      <w:r>
        <w:rPr>
          <w:sz w:val="24"/>
        </w:rPr>
        <w:t xml:space="preserve"> </w:t>
      </w:r>
      <w:r>
        <w:rPr>
          <w:rFonts w:hint="eastAsia"/>
          <w:sz w:val="24"/>
        </w:rPr>
        <w:t xml:space="preserve">based on </w:t>
      </w:r>
      <w:r>
        <w:rPr>
          <w:sz w:val="24"/>
        </w:rPr>
        <w:t>product types</w:t>
      </w:r>
      <w:r>
        <w:rPr>
          <w:rFonts w:hint="eastAsia"/>
          <w:sz w:val="24"/>
        </w:rPr>
        <w:t>, classify a</w:t>
      </w:r>
      <w:r>
        <w:rPr>
          <w:sz w:val="24"/>
        </w:rPr>
        <w:t xml:space="preserve">sset-management products </w:t>
      </w:r>
      <w:r>
        <w:rPr>
          <w:rFonts w:hint="eastAsia"/>
          <w:sz w:val="24"/>
        </w:rPr>
        <w:t xml:space="preserve">from the perspectives of </w:t>
      </w:r>
      <w:r>
        <w:rPr>
          <w:sz w:val="24"/>
        </w:rPr>
        <w:t>the fund-raising mode and the investment nature,</w:t>
      </w:r>
      <w:r>
        <w:rPr>
          <w:rFonts w:hint="eastAsia"/>
          <w:sz w:val="24"/>
        </w:rPr>
        <w:t xml:space="preserve"> and provide for unified</w:t>
      </w:r>
      <w:r>
        <w:rPr>
          <w:sz w:val="24"/>
        </w:rPr>
        <w:t xml:space="preserve"> </w:t>
      </w:r>
      <w:r>
        <w:rPr>
          <w:rFonts w:hint="eastAsia"/>
          <w:sz w:val="24"/>
        </w:rPr>
        <w:t>r</w:t>
      </w:r>
      <w:r>
        <w:rPr>
          <w:sz w:val="24"/>
        </w:rPr>
        <w:t xml:space="preserve">equirements on the investment scope, leverage constraints, and information disclosures </w:t>
      </w:r>
      <w:r>
        <w:rPr>
          <w:rFonts w:hint="eastAsia"/>
          <w:sz w:val="24"/>
        </w:rPr>
        <w:t>for each type of product</w:t>
      </w:r>
      <w:r>
        <w:rPr>
          <w:sz w:val="24"/>
        </w:rPr>
        <w:t>.</w:t>
      </w:r>
      <w:r>
        <w:rPr>
          <w:rFonts w:eastAsia="仿宋_GB2312" w:cs="仿宋_GB2312"/>
          <w:sz w:val="24"/>
          <w:szCs w:val="28"/>
        </w:rPr>
        <w:t xml:space="preserve"> </w:t>
      </w:r>
      <w:r>
        <w:rPr>
          <w:sz w:val="24"/>
        </w:rPr>
        <w:t>They adhere</w:t>
      </w:r>
      <w:r>
        <w:rPr>
          <w:rFonts w:hint="eastAsia"/>
          <w:sz w:val="24"/>
        </w:rPr>
        <w:t xml:space="preserve"> to the principle of matching products with investors, strengthen the </w:t>
      </w:r>
      <w:r>
        <w:rPr>
          <w:sz w:val="24"/>
        </w:rPr>
        <w:t>suitability investor management, and intensify the responsibility of financial institutions to perform their duties and to disclose information. They</w:t>
      </w:r>
      <w:r>
        <w:rPr>
          <w:rFonts w:hint="eastAsia"/>
          <w:sz w:val="24"/>
        </w:rPr>
        <w:t xml:space="preserve"> make it clear</w:t>
      </w:r>
      <w:r>
        <w:rPr>
          <w:sz w:val="24"/>
        </w:rPr>
        <w:t xml:space="preserve"> that </w:t>
      </w:r>
      <w:r>
        <w:rPr>
          <w:rFonts w:cs="Arial"/>
          <w:sz w:val="24"/>
          <w:szCs w:val="18"/>
        </w:rPr>
        <w:t xml:space="preserve">financial institutions </w:t>
      </w:r>
      <w:r>
        <w:rPr>
          <w:rFonts w:hint="eastAsia" w:cs="Arial"/>
          <w:sz w:val="24"/>
          <w:szCs w:val="18"/>
        </w:rPr>
        <w:t>cannot</w:t>
      </w:r>
      <w:r>
        <w:rPr>
          <w:rFonts w:cs="Arial"/>
          <w:sz w:val="24"/>
          <w:szCs w:val="18"/>
        </w:rPr>
        <w:t xml:space="preserve"> promise to guarantee the principal and returns </w:t>
      </w:r>
      <w:r>
        <w:rPr>
          <w:rFonts w:hint="eastAsia" w:cs="Arial"/>
          <w:sz w:val="24"/>
          <w:szCs w:val="18"/>
        </w:rPr>
        <w:t xml:space="preserve">of </w:t>
      </w:r>
      <w:r>
        <w:rPr>
          <w:rFonts w:cs="Arial"/>
          <w:sz w:val="24"/>
          <w:szCs w:val="18"/>
        </w:rPr>
        <w:t>asset-management business</w:t>
      </w:r>
      <w:r>
        <w:rPr>
          <w:sz w:val="24"/>
        </w:rPr>
        <w:t xml:space="preserve">es, adhere to the principle of fair value measurement, and </w:t>
      </w:r>
      <w:r>
        <w:rPr>
          <w:rFonts w:hint="eastAsia"/>
          <w:sz w:val="24"/>
        </w:rPr>
        <w:t>effectively end</w:t>
      </w:r>
      <w:r>
        <w:rPr>
          <w:sz w:val="24"/>
        </w:rPr>
        <w:t xml:space="preserve"> the </w:t>
      </w:r>
      <w:r>
        <w:rPr>
          <w:rFonts w:hint="eastAsia"/>
          <w:sz w:val="24"/>
        </w:rPr>
        <w:t xml:space="preserve">practice of implicit </w:t>
      </w:r>
      <w:r>
        <w:rPr>
          <w:sz w:val="24"/>
        </w:rPr>
        <w:t>repayment</w:t>
      </w:r>
      <w:r>
        <w:rPr>
          <w:rFonts w:hint="eastAsia"/>
          <w:sz w:val="24"/>
        </w:rPr>
        <w:t xml:space="preserve"> guarantee</w:t>
      </w:r>
      <w:r>
        <w:rPr>
          <w:sz w:val="24"/>
        </w:rPr>
        <w:t xml:space="preserve">s. They impose strict </w:t>
      </w:r>
      <w:r>
        <w:rPr>
          <w:rFonts w:hint="eastAsia"/>
          <w:sz w:val="24"/>
        </w:rPr>
        <w:t xml:space="preserve">investment </w:t>
      </w:r>
      <w:r>
        <w:rPr>
          <w:sz w:val="24"/>
        </w:rPr>
        <w:t>requirements on nonstandard credit assets</w:t>
      </w:r>
      <w:r>
        <w:rPr>
          <w:rFonts w:hint="eastAsia"/>
          <w:sz w:val="24"/>
        </w:rPr>
        <w:t xml:space="preserve"> and</w:t>
      </w:r>
      <w:r>
        <w:rPr>
          <w:sz w:val="24"/>
        </w:rPr>
        <w:t xml:space="preserve"> ban fund-pool</w:t>
      </w:r>
      <w:r>
        <w:rPr>
          <w:rFonts w:hint="eastAsia"/>
          <w:sz w:val="24"/>
        </w:rPr>
        <w:t>ing to</w:t>
      </w:r>
      <w:r>
        <w:rPr>
          <w:sz w:val="24"/>
        </w:rPr>
        <w:t xml:space="preserve"> prevent shadow-banking and liquidity risk</w:t>
      </w:r>
      <w:r>
        <w:rPr>
          <w:rFonts w:hint="eastAsia"/>
          <w:sz w:val="24"/>
        </w:rPr>
        <w:t>s</w:t>
      </w:r>
      <w:r>
        <w:rPr>
          <w:sz w:val="24"/>
        </w:rPr>
        <w:t xml:space="preserve">. They classify and unify the requirements on liability and leverage </w:t>
      </w:r>
      <w:r>
        <w:rPr>
          <w:rFonts w:hint="eastAsia"/>
          <w:sz w:val="24"/>
        </w:rPr>
        <w:t>for the tranches</w:t>
      </w:r>
      <w:r>
        <w:rPr>
          <w:sz w:val="24"/>
        </w:rPr>
        <w:t xml:space="preserve">, eliminate multi-layered nesting, and constrain the channel business. They </w:t>
      </w:r>
      <w:r>
        <w:rPr>
          <w:rFonts w:hint="eastAsia"/>
          <w:sz w:val="24"/>
        </w:rPr>
        <w:t>step up</w:t>
      </w:r>
      <w:r>
        <w:rPr>
          <w:sz w:val="24"/>
        </w:rPr>
        <w:t xml:space="preserve"> regula</w:t>
      </w:r>
      <w:r>
        <w:rPr>
          <w:rFonts w:hint="eastAsia"/>
          <w:sz w:val="24"/>
        </w:rPr>
        <w:t>tory</w:t>
      </w:r>
      <w:r>
        <w:rPr>
          <w:sz w:val="24"/>
        </w:rPr>
        <w:t xml:space="preserve"> coordination</w:t>
      </w:r>
      <w:r>
        <w:rPr>
          <w:rFonts w:hint="eastAsia"/>
          <w:sz w:val="24"/>
        </w:rPr>
        <w:t>,</w:t>
      </w:r>
      <w:r>
        <w:rPr>
          <w:sz w:val="24"/>
        </w:rPr>
        <w:t xml:space="preserve"> macro-prudential management, and function</w:t>
      </w:r>
      <w:r>
        <w:rPr>
          <w:rFonts w:hint="eastAsia"/>
          <w:sz w:val="24"/>
        </w:rPr>
        <w:t>al</w:t>
      </w:r>
      <w:r>
        <w:rPr>
          <w:sz w:val="24"/>
        </w:rPr>
        <w:t xml:space="preserve"> regulation. By establishing </w:t>
      </w:r>
      <w:r>
        <w:rPr>
          <w:rFonts w:hint="eastAsia"/>
          <w:sz w:val="24"/>
        </w:rPr>
        <w:t>a re</w:t>
      </w:r>
      <w:r>
        <w:rPr>
          <w:sz w:val="24"/>
        </w:rPr>
        <w:t>a</w:t>
      </w:r>
      <w:r>
        <w:rPr>
          <w:rFonts w:hint="eastAsia"/>
          <w:sz w:val="24"/>
        </w:rPr>
        <w:t>sonable</w:t>
      </w:r>
      <w:r>
        <w:rPr>
          <w:sz w:val="24"/>
        </w:rPr>
        <w:t xml:space="preserve"> transitional period, there is time </w:t>
      </w:r>
      <w:r>
        <w:rPr>
          <w:rFonts w:hint="eastAsia"/>
          <w:sz w:val="24"/>
        </w:rPr>
        <w:t xml:space="preserve">for </w:t>
      </w:r>
      <w:r>
        <w:rPr>
          <w:sz w:val="24"/>
        </w:rPr>
        <w:t>financial</w:t>
      </w:r>
      <w:r>
        <w:rPr>
          <w:rFonts w:hint="eastAsia"/>
          <w:sz w:val="24"/>
        </w:rPr>
        <w:t xml:space="preserve"> institutions </w:t>
      </w:r>
      <w:r>
        <w:rPr>
          <w:sz w:val="24"/>
        </w:rPr>
        <w:t>to orderly rectify and transform the asset-management business of financial institutions</w:t>
      </w:r>
      <w:r>
        <w:rPr>
          <w:rFonts w:hint="eastAsia"/>
          <w:sz w:val="24"/>
        </w:rPr>
        <w:t xml:space="preserve"> to make sure that financial market</w:t>
      </w:r>
      <w:r>
        <w:rPr>
          <w:sz w:val="24"/>
        </w:rPr>
        <w:t xml:space="preserve">s </w:t>
      </w:r>
      <w:r>
        <w:rPr>
          <w:rFonts w:hint="eastAsia"/>
          <w:sz w:val="24"/>
        </w:rPr>
        <w:t xml:space="preserve">function smoothly. </w:t>
      </w:r>
      <w:r>
        <w:rPr>
          <w:sz w:val="24"/>
        </w:rPr>
        <w:t xml:space="preserve"> </w:t>
      </w:r>
    </w:p>
    <w:p>
      <w:pPr>
        <w:rPr>
          <w:rFonts w:eastAsia="仿宋_GB2312" w:cs="仿宋_GB2312"/>
          <w:b/>
          <w:bCs/>
          <w:sz w:val="24"/>
        </w:rPr>
      </w:pPr>
      <w:r>
        <w:rPr>
          <w:rFonts w:hint="eastAsia" w:eastAsia="仿宋_GB2312" w:cs="仿宋_GB2312"/>
          <w:b/>
          <w:bCs/>
          <w:sz w:val="24"/>
        </w:rPr>
        <w:br w:type="textWrapping"/>
      </w:r>
    </w:p>
    <w:p>
      <w:pPr>
        <w:rPr>
          <w:rFonts w:eastAsia="仿宋_GB2312" w:cs="仿宋_GB2312"/>
          <w:b/>
          <w:bCs/>
          <w:sz w:val="24"/>
        </w:rPr>
      </w:pPr>
      <w:r>
        <w:rPr>
          <w:rFonts w:eastAsia="仿宋_GB2312" w:cs="仿宋_GB2312"/>
          <w:b/>
          <w:bCs/>
          <w:sz w:val="24"/>
        </w:rPr>
        <w:t>3. Strengthening the</w:t>
      </w:r>
      <w:r>
        <w:rPr>
          <w:rFonts w:hint="eastAsia" w:eastAsia="仿宋_GB2312" w:cs="仿宋_GB2312"/>
          <w:b/>
          <w:bCs/>
          <w:sz w:val="24"/>
        </w:rPr>
        <w:t xml:space="preserve"> regulatory rules</w:t>
      </w:r>
      <w:r>
        <w:rPr>
          <w:rFonts w:eastAsia="仿宋_GB2312" w:cs="仿宋_GB2312"/>
          <w:b/>
          <w:bCs/>
          <w:sz w:val="24"/>
        </w:rPr>
        <w:t xml:space="preserve"> for securities and futures</w:t>
      </w:r>
    </w:p>
    <w:p>
      <w:pPr>
        <w:rPr>
          <w:rFonts w:eastAsia="仿宋_GB2312" w:cs="仿宋_GB2312"/>
          <w:b/>
          <w:bCs/>
          <w:sz w:val="24"/>
        </w:rPr>
      </w:pPr>
    </w:p>
    <w:p>
      <w:pPr>
        <w:rPr>
          <w:rFonts w:eastAsia="仿宋_GB2312" w:cs="仿宋_GB2312"/>
          <w:sz w:val="24"/>
        </w:rPr>
      </w:pPr>
      <w:r>
        <w:rPr>
          <w:rFonts w:eastAsia="仿宋_GB2312" w:cs="仿宋_GB2312"/>
          <w:b/>
          <w:bCs/>
          <w:sz w:val="24"/>
        </w:rPr>
        <w:t>Efforts were made to further improve the rules and regulations for securities supervision.</w:t>
      </w:r>
      <w:r>
        <w:rPr>
          <w:rFonts w:eastAsia="仿宋_GB2312" w:cs="仿宋_GB2312"/>
          <w:sz w:val="24"/>
        </w:rPr>
        <w:t xml:space="preserve"> First, the CSRC released the </w:t>
      </w:r>
      <w:r>
        <w:rPr>
          <w:rFonts w:eastAsia="仿宋_GB2312" w:cs="仿宋_GB2312"/>
          <w:i/>
          <w:iCs/>
          <w:sz w:val="24"/>
        </w:rPr>
        <w:t>Decision on Revising the Procedural Rules for Implementing CSRC Administrative Licenses</w:t>
      </w:r>
      <w:r>
        <w:rPr>
          <w:rFonts w:eastAsia="仿宋_GB2312" w:cs="仿宋_GB2312"/>
          <w:sz w:val="24"/>
        </w:rPr>
        <w:t>, which aims to harmonize regulatory policies for different intermediary institutions by including securities companies, securities-services institutions, and their employees into the scope of applicability of the policies for suspending applications for CSRC administrative licenses and reviews of such applications when these parties are under</w:t>
      </w:r>
      <w:r>
        <w:rPr>
          <w:rFonts w:hint="eastAsia" w:eastAsia="仿宋_GB2312" w:cs="仿宋_GB2312"/>
          <w:sz w:val="24"/>
        </w:rPr>
        <w:t xml:space="preserve"> investigation so as to </w:t>
      </w:r>
      <w:r>
        <w:rPr>
          <w:rFonts w:eastAsia="仿宋_GB2312" w:cs="仿宋_GB2312"/>
          <w:sz w:val="24"/>
        </w:rPr>
        <w:t>reduce the impact of the linking</w:t>
      </w:r>
      <w:r>
        <w:rPr>
          <w:rFonts w:hint="eastAsia" w:eastAsia="仿宋_GB2312" w:cs="仿宋_GB2312"/>
          <w:sz w:val="24"/>
        </w:rPr>
        <w:t xml:space="preserve"> </w:t>
      </w:r>
      <w:r>
        <w:rPr>
          <w:rFonts w:eastAsia="仿宋_GB2312" w:cs="仿宋_GB2312"/>
          <w:sz w:val="24"/>
        </w:rPr>
        <w:t>policy o</w:t>
      </w:r>
      <w:r>
        <w:rPr>
          <w:rFonts w:hint="eastAsia" w:eastAsia="仿宋_GB2312" w:cs="仿宋_GB2312"/>
          <w:sz w:val="24"/>
        </w:rPr>
        <w:t>n</w:t>
      </w:r>
      <w:r>
        <w:rPr>
          <w:rFonts w:eastAsia="仿宋_GB2312" w:cs="仿宋_GB2312"/>
          <w:sz w:val="24"/>
        </w:rPr>
        <w:t xml:space="preserve"> applications from parties that are not being investigated. Second, the CSRC released the amended </w:t>
      </w:r>
      <w:r>
        <w:rPr>
          <w:rFonts w:hint="eastAsia" w:eastAsia="仿宋_GB2312" w:cs="仿宋_GB2312"/>
          <w:i/>
          <w:iCs/>
          <w:sz w:val="24"/>
        </w:rPr>
        <w:t>Administrative Rules</w:t>
      </w:r>
      <w:r>
        <w:rPr>
          <w:rFonts w:eastAsia="仿宋_GB2312" w:cs="仿宋_GB2312"/>
          <w:i/>
          <w:iCs/>
          <w:sz w:val="24"/>
        </w:rPr>
        <w:t xml:space="preserve"> on </w:t>
      </w:r>
      <w:r>
        <w:rPr>
          <w:rFonts w:hint="eastAsia" w:eastAsia="仿宋_GB2312" w:cs="仿宋_GB2312"/>
          <w:i/>
          <w:iCs/>
          <w:sz w:val="24"/>
        </w:rPr>
        <w:t xml:space="preserve">Regulation of </w:t>
      </w:r>
      <w:r>
        <w:rPr>
          <w:rFonts w:eastAsia="仿宋_GB2312" w:cs="仿宋_GB2312"/>
          <w:i/>
          <w:iCs/>
          <w:sz w:val="24"/>
        </w:rPr>
        <w:t>Integrity in the Securities and Futures Markets</w:t>
      </w:r>
      <w:r>
        <w:rPr>
          <w:rFonts w:eastAsia="仿宋_GB2312" w:cs="仿宋_GB2312"/>
          <w:sz w:val="24"/>
        </w:rPr>
        <w:t xml:space="preserve">, which covers a wider range of institutions and a </w:t>
      </w:r>
      <w:r>
        <w:rPr>
          <w:rFonts w:hint="eastAsia" w:eastAsia="仿宋_GB2312" w:cs="仿宋_GB2312"/>
          <w:sz w:val="24"/>
        </w:rPr>
        <w:t>larger</w:t>
      </w:r>
      <w:r>
        <w:rPr>
          <w:rFonts w:eastAsia="仿宋_GB2312" w:cs="仿宋_GB2312"/>
          <w:sz w:val="24"/>
        </w:rPr>
        <w:t xml:space="preserve"> scope of information to be reviewed. It established mechanisms that require an integrity commitment </w:t>
      </w:r>
      <w:r>
        <w:rPr>
          <w:rFonts w:hint="eastAsia" w:eastAsia="仿宋_GB2312" w:cs="仿宋_GB2312"/>
          <w:sz w:val="24"/>
        </w:rPr>
        <w:t xml:space="preserve">by market participants </w:t>
      </w:r>
      <w:r>
        <w:rPr>
          <w:rFonts w:eastAsia="仿宋_GB2312" w:cs="仿宋_GB2312"/>
          <w:sz w:val="24"/>
        </w:rPr>
        <w:t xml:space="preserve">when applying for market access, disclosure of </w:t>
      </w:r>
      <w:r>
        <w:rPr>
          <w:rFonts w:hint="eastAsia" w:eastAsia="仿宋_GB2312" w:cs="仿宋_GB2312"/>
          <w:sz w:val="24"/>
        </w:rPr>
        <w:t xml:space="preserve">failures </w:t>
      </w:r>
      <w:r>
        <w:rPr>
          <w:rFonts w:eastAsia="仿宋_GB2312" w:cs="仿宋_GB2312"/>
          <w:sz w:val="24"/>
        </w:rPr>
        <w:t>by</w:t>
      </w:r>
      <w:r>
        <w:rPr>
          <w:rFonts w:hint="eastAsia" w:eastAsia="仿宋_GB2312" w:cs="仿宋_GB2312"/>
          <w:sz w:val="24"/>
        </w:rPr>
        <w:t xml:space="preserve"> market participants </w:t>
      </w:r>
      <w:r>
        <w:rPr>
          <w:rFonts w:eastAsia="仿宋_GB2312" w:cs="仿宋_GB2312"/>
          <w:sz w:val="24"/>
        </w:rPr>
        <w:t>to</w:t>
      </w:r>
      <w:r>
        <w:rPr>
          <w:rFonts w:hint="eastAsia" w:eastAsia="仿宋_GB2312" w:cs="仿宋_GB2312"/>
          <w:sz w:val="24"/>
        </w:rPr>
        <w:t xml:space="preserve"> maintain </w:t>
      </w:r>
      <w:r>
        <w:rPr>
          <w:rFonts w:eastAsia="仿宋_GB2312" w:cs="仿宋_GB2312"/>
          <w:sz w:val="24"/>
        </w:rPr>
        <w:t xml:space="preserve">integrity, and </w:t>
      </w:r>
      <w:r>
        <w:rPr>
          <w:rFonts w:hint="eastAsia" w:eastAsia="仿宋_GB2312" w:cs="仿宋_GB2312"/>
          <w:sz w:val="24"/>
        </w:rPr>
        <w:t>establish</w:t>
      </w:r>
      <w:r>
        <w:rPr>
          <w:rFonts w:eastAsia="仿宋_GB2312" w:cs="仿宋_GB2312"/>
          <w:sz w:val="24"/>
        </w:rPr>
        <w:t>ment of</w:t>
      </w:r>
      <w:r>
        <w:rPr>
          <w:rFonts w:hint="eastAsia" w:eastAsia="仿宋_GB2312" w:cs="仿宋_GB2312"/>
          <w:sz w:val="24"/>
        </w:rPr>
        <w:t xml:space="preserve"> a mechanism of</w:t>
      </w:r>
      <w:r>
        <w:rPr>
          <w:rFonts w:eastAsia="仿宋_GB2312" w:cs="仿宋_GB2312"/>
          <w:sz w:val="24"/>
        </w:rPr>
        <w:t xml:space="preserve"> integrity </w:t>
      </w:r>
      <w:r>
        <w:rPr>
          <w:rFonts w:hint="eastAsia" w:eastAsia="仿宋_GB2312" w:cs="仿宋_GB2312"/>
          <w:sz w:val="24"/>
        </w:rPr>
        <w:t>scores</w:t>
      </w:r>
      <w:r>
        <w:rPr>
          <w:rFonts w:eastAsia="仿宋_GB2312" w:cs="仿宋_GB2312"/>
          <w:sz w:val="24"/>
        </w:rPr>
        <w:t xml:space="preserve"> for key institutions. It also enhanced self-discipline and ex post supervision to promote integrity in market transactions.</w:t>
      </w:r>
    </w:p>
    <w:p>
      <w:pPr>
        <w:rPr>
          <w:rFonts w:eastAsia="仿宋_GB2312" w:cs="仿宋_GB2312"/>
          <w:sz w:val="24"/>
        </w:rPr>
      </w:pPr>
    </w:p>
    <w:p>
      <w:pPr>
        <w:rPr>
          <w:rFonts w:eastAsia="仿宋_GB2312" w:cs="仿宋_GB2312"/>
          <w:sz w:val="24"/>
        </w:rPr>
      </w:pPr>
      <w:r>
        <w:rPr>
          <w:rFonts w:eastAsia="仿宋_GB2312" w:cs="仿宋_GB2312"/>
          <w:b/>
          <w:bCs/>
          <w:sz w:val="24"/>
        </w:rPr>
        <w:t xml:space="preserve">More </w:t>
      </w:r>
      <w:r>
        <w:rPr>
          <w:rFonts w:hint="eastAsia" w:eastAsia="仿宋_GB2312" w:cs="仿宋_GB2312"/>
          <w:b/>
          <w:bCs/>
          <w:sz w:val="24"/>
        </w:rPr>
        <w:t xml:space="preserve">mutual </w:t>
      </w:r>
      <w:r>
        <w:rPr>
          <w:rFonts w:eastAsia="仿宋_GB2312" w:cs="仿宋_GB2312"/>
          <w:b/>
          <w:bCs/>
          <w:sz w:val="24"/>
        </w:rPr>
        <w:t>fund products were provided.</w:t>
      </w:r>
      <w:r>
        <w:rPr>
          <w:rFonts w:eastAsia="仿宋_GB2312" w:cs="仿宋_GB2312"/>
          <w:sz w:val="24"/>
        </w:rPr>
        <w:t xml:space="preserve"> In the</w:t>
      </w:r>
      <w:r>
        <w:rPr>
          <w:rFonts w:eastAsia="仿宋_GB2312" w:cs="仿宋_GB2312"/>
          <w:i/>
          <w:sz w:val="24"/>
        </w:rPr>
        <w:t xml:space="preserve"> Interim</w:t>
      </w:r>
      <w:r>
        <w:rPr>
          <w:rFonts w:hint="eastAsia" w:eastAsia="仿宋_GB2312" w:cs="仿宋_GB2312"/>
          <w:sz w:val="24"/>
        </w:rPr>
        <w:t xml:space="preserve"> </w:t>
      </w:r>
      <w:r>
        <w:rPr>
          <w:rFonts w:eastAsia="仿宋_GB2312" w:cs="仿宋_GB2312"/>
          <w:i/>
          <w:iCs/>
          <w:sz w:val="24"/>
        </w:rPr>
        <w:t>Guide</w:t>
      </w:r>
      <w:r>
        <w:rPr>
          <w:rFonts w:hint="eastAsia" w:eastAsia="仿宋_GB2312" w:cs="仿宋_GB2312"/>
          <w:i/>
          <w:iCs/>
          <w:sz w:val="24"/>
        </w:rPr>
        <w:t>lines</w:t>
      </w:r>
      <w:r>
        <w:rPr>
          <w:rFonts w:eastAsia="仿宋_GB2312" w:cs="仿宋_GB2312"/>
          <w:i/>
          <w:iCs/>
          <w:sz w:val="24"/>
        </w:rPr>
        <w:t xml:space="preserve"> on Selected Securities Investment Funds with Pension Funds</w:t>
      </w:r>
      <w:r>
        <w:rPr>
          <w:rFonts w:eastAsia="仿宋_GB2312" w:cs="仿宋_GB2312"/>
          <w:sz w:val="24"/>
        </w:rPr>
        <w:t>, the CSRC</w:t>
      </w:r>
      <w:r>
        <w:rPr>
          <w:rFonts w:hint="eastAsia" w:eastAsia="仿宋_GB2312" w:cs="仿宋_GB2312"/>
          <w:sz w:val="24"/>
        </w:rPr>
        <w:t xml:space="preserve"> established</w:t>
      </w:r>
      <w:r>
        <w:rPr>
          <w:rFonts w:eastAsia="仿宋_GB2312" w:cs="仿宋_GB2312"/>
          <w:sz w:val="24"/>
        </w:rPr>
        <w:t xml:space="preserve"> a new category of fund products</w:t>
      </w:r>
      <w:r>
        <w:rPr>
          <w:rFonts w:hint="eastAsia" w:eastAsia="仿宋_GB2312" w:cs="仿宋_GB2312"/>
          <w:sz w:val="24"/>
        </w:rPr>
        <w:t xml:space="preserve"> that are specifically designed</w:t>
      </w:r>
      <w:r>
        <w:rPr>
          <w:rFonts w:eastAsia="仿宋_GB2312" w:cs="仿宋_GB2312"/>
          <w:sz w:val="24"/>
        </w:rPr>
        <w:t xml:space="preserve"> for pension investments, </w:t>
      </w:r>
      <w:r>
        <w:rPr>
          <w:rFonts w:hint="eastAsia" w:eastAsia="仿宋_GB2312" w:cs="仿宋_GB2312"/>
          <w:sz w:val="24"/>
        </w:rPr>
        <w:t>provide</w:t>
      </w:r>
      <w:r>
        <w:rPr>
          <w:rFonts w:eastAsia="仿宋_GB2312" w:cs="仿宋_GB2312"/>
          <w:sz w:val="24"/>
        </w:rPr>
        <w:t>s</w:t>
      </w:r>
      <w:r>
        <w:rPr>
          <w:rFonts w:hint="eastAsia" w:eastAsia="仿宋_GB2312" w:cs="仿宋_GB2312"/>
          <w:sz w:val="24"/>
        </w:rPr>
        <w:t xml:space="preserve"> </w:t>
      </w:r>
      <w:r>
        <w:rPr>
          <w:rFonts w:eastAsia="仿宋_GB2312" w:cs="仿宋_GB2312"/>
          <w:sz w:val="24"/>
        </w:rPr>
        <w:t>principles for the operation of such investment funds and the qualifications for the fund managers, which will promote market-based pension reforms and support sound long-term development of the public funds industry.</w:t>
      </w:r>
    </w:p>
    <w:p>
      <w:pPr>
        <w:rPr>
          <w:rFonts w:eastAsia="仿宋_GB2312" w:cs="仿宋_GB2312"/>
          <w:sz w:val="24"/>
        </w:rPr>
      </w:pPr>
    </w:p>
    <w:p>
      <w:pPr>
        <w:rPr>
          <w:rFonts w:eastAsia="仿宋_GB2312" w:cs="仿宋_GB2312"/>
          <w:sz w:val="24"/>
        </w:rPr>
      </w:pPr>
      <w:r>
        <w:rPr>
          <w:rFonts w:eastAsia="仿宋_GB2312" w:cs="仿宋_GB2312"/>
          <w:b/>
          <w:bCs/>
          <w:sz w:val="24"/>
        </w:rPr>
        <w:t>Rules on the sale of shares of listed companies were further improved.</w:t>
      </w:r>
      <w:r>
        <w:rPr>
          <w:rFonts w:eastAsia="仿宋_GB2312" w:cs="仿宋_GB2312"/>
          <w:sz w:val="24"/>
        </w:rPr>
        <w:t xml:space="preserve"> The CSRC issued the </w:t>
      </w:r>
      <w:r>
        <w:rPr>
          <w:rFonts w:eastAsia="仿宋_GB2312" w:cs="仿宋_GB2312"/>
          <w:i/>
          <w:iCs/>
          <w:sz w:val="24"/>
        </w:rPr>
        <w:t xml:space="preserve">Special Rules on </w:t>
      </w:r>
      <w:r>
        <w:rPr>
          <w:rFonts w:hint="eastAsia" w:eastAsia="仿宋_GB2312" w:cs="仿宋_GB2312"/>
          <w:i/>
          <w:iCs/>
          <w:sz w:val="24"/>
        </w:rPr>
        <w:t>Reducing Equity Holding</w:t>
      </w:r>
      <w:r>
        <w:rPr>
          <w:rFonts w:eastAsia="仿宋_GB2312" w:cs="仿宋_GB2312"/>
          <w:i/>
          <w:iCs/>
          <w:sz w:val="24"/>
        </w:rPr>
        <w:t>s by Venture Investment Fund Shareholders in Listed Companies</w:t>
      </w:r>
      <w:r>
        <w:rPr>
          <w:rFonts w:eastAsia="仿宋_GB2312" w:cs="仿宋_GB2312"/>
          <w:sz w:val="24"/>
        </w:rPr>
        <w:t xml:space="preserve">, </w:t>
      </w:r>
      <w:r>
        <w:rPr>
          <w:rFonts w:hint="eastAsia" w:eastAsia="仿宋_GB2312" w:cs="仿宋_GB2312"/>
          <w:sz w:val="24"/>
        </w:rPr>
        <w:t>clarifying</w:t>
      </w:r>
      <w:r>
        <w:rPr>
          <w:rFonts w:eastAsia="仿宋_GB2312" w:cs="仿宋_GB2312"/>
          <w:sz w:val="24"/>
        </w:rPr>
        <w:t xml:space="preserve"> the differentiated lock-up periods for venture investment fund shareholders in </w:t>
      </w:r>
      <w:r>
        <w:rPr>
          <w:rFonts w:hint="eastAsia" w:eastAsia="仿宋_GB2312" w:cs="仿宋_GB2312"/>
          <w:sz w:val="24"/>
        </w:rPr>
        <w:t xml:space="preserve">IPO </w:t>
      </w:r>
      <w:r>
        <w:rPr>
          <w:rFonts w:eastAsia="仿宋_GB2312" w:cs="仿宋_GB2312"/>
          <w:sz w:val="24"/>
        </w:rPr>
        <w:t xml:space="preserve">companies and the specific qualifications for such venture investment funds </w:t>
      </w:r>
      <w:r>
        <w:rPr>
          <w:rFonts w:hint="eastAsia" w:eastAsia="仿宋_GB2312" w:cs="仿宋_GB2312"/>
          <w:sz w:val="24"/>
        </w:rPr>
        <w:t xml:space="preserve">in an effort to </w:t>
      </w:r>
      <w:r>
        <w:rPr>
          <w:rFonts w:eastAsia="仿宋_GB2312" w:cs="仿宋_GB2312"/>
          <w:sz w:val="24"/>
        </w:rPr>
        <w:t xml:space="preserve">provide policy support for market-based exits by venture investors who </w:t>
      </w:r>
      <w:r>
        <w:rPr>
          <w:rFonts w:hint="eastAsia" w:eastAsia="仿宋_GB2312" w:cs="仿宋_GB2312"/>
          <w:sz w:val="24"/>
        </w:rPr>
        <w:t xml:space="preserve">have </w:t>
      </w:r>
      <w:r>
        <w:rPr>
          <w:rFonts w:eastAsia="仿宋_GB2312" w:cs="仿宋_GB2312"/>
          <w:sz w:val="24"/>
        </w:rPr>
        <w:t>focus</w:t>
      </w:r>
      <w:r>
        <w:rPr>
          <w:rFonts w:hint="eastAsia" w:eastAsia="仿宋_GB2312" w:cs="仿宋_GB2312"/>
          <w:sz w:val="24"/>
        </w:rPr>
        <w:t>ed</w:t>
      </w:r>
      <w:r>
        <w:rPr>
          <w:rFonts w:eastAsia="仿宋_GB2312" w:cs="仿宋_GB2312"/>
          <w:sz w:val="24"/>
        </w:rPr>
        <w:t xml:space="preserve"> on long-term investments and value investments.</w:t>
      </w:r>
    </w:p>
    <w:p>
      <w:pPr>
        <w:rPr>
          <w:rFonts w:eastAsia="仿宋_GB2312" w:cs="仿宋_GB2312"/>
          <w:sz w:val="24"/>
        </w:rPr>
      </w:pPr>
    </w:p>
    <w:p>
      <w:pPr>
        <w:rPr>
          <w:b/>
          <w:kern w:val="0"/>
          <w:sz w:val="24"/>
        </w:rPr>
      </w:pPr>
      <w:r>
        <w:rPr>
          <w:b/>
          <w:kern w:val="0"/>
          <w:sz w:val="24"/>
        </w:rPr>
        <w:t>4. Improving fundamental institutional arrangements in the insurance market</w:t>
      </w:r>
    </w:p>
    <w:p>
      <w:pPr>
        <w:rPr>
          <w:b/>
          <w:kern w:val="0"/>
          <w:sz w:val="24"/>
        </w:rPr>
      </w:pPr>
    </w:p>
    <w:p>
      <w:pPr>
        <w:rPr>
          <w:bCs/>
          <w:kern w:val="0"/>
          <w:sz w:val="24"/>
        </w:rPr>
      </w:pPr>
      <w:r>
        <w:rPr>
          <w:b/>
          <w:kern w:val="0"/>
          <w:sz w:val="24"/>
        </w:rPr>
        <w:t xml:space="preserve">The </w:t>
      </w:r>
      <w:r>
        <w:rPr>
          <w:b/>
          <w:i/>
          <w:kern w:val="0"/>
          <w:sz w:val="24"/>
        </w:rPr>
        <w:t>Administrative Rules on Equity Management in Insurance Companies</w:t>
      </w:r>
      <w:r>
        <w:rPr>
          <w:b/>
          <w:kern w:val="0"/>
          <w:sz w:val="24"/>
        </w:rPr>
        <w:t xml:space="preserve"> were revised. </w:t>
      </w:r>
      <w:r>
        <w:rPr>
          <w:kern w:val="0"/>
          <w:sz w:val="24"/>
        </w:rPr>
        <w:t>With this</w:t>
      </w:r>
      <w:r>
        <w:rPr>
          <w:b/>
          <w:kern w:val="0"/>
          <w:sz w:val="24"/>
        </w:rPr>
        <w:t xml:space="preserve"> </w:t>
      </w:r>
      <w:r>
        <w:rPr>
          <w:bCs/>
          <w:kern w:val="0"/>
          <w:sz w:val="24"/>
        </w:rPr>
        <w:t xml:space="preserve">revision, the insurance regulator further standardized the behavior of shareholders in insurance companies, focusing on clarifying the regulations on </w:t>
      </w:r>
      <w:r>
        <w:rPr>
          <w:rFonts w:hint="eastAsia"/>
          <w:bCs/>
          <w:kern w:val="0"/>
          <w:sz w:val="24"/>
        </w:rPr>
        <w:t>qualifications</w:t>
      </w:r>
      <w:r>
        <w:rPr>
          <w:bCs/>
          <w:kern w:val="0"/>
          <w:sz w:val="24"/>
        </w:rPr>
        <w:t xml:space="preserve"> of the shareholders of insurance companies, the ownership structure, the authenticity of capital, and the penetration of supervision. The revised document lowers the upper limit of the shareholding ratio of a </w:t>
      </w:r>
      <w:r>
        <w:rPr>
          <w:rFonts w:hint="eastAsia"/>
          <w:bCs/>
          <w:kern w:val="0"/>
          <w:sz w:val="24"/>
        </w:rPr>
        <w:t xml:space="preserve">single shareholder </w:t>
      </w:r>
      <w:r>
        <w:rPr>
          <w:bCs/>
          <w:kern w:val="0"/>
          <w:sz w:val="24"/>
        </w:rPr>
        <w:t xml:space="preserve">from 51 percent to one-third and it specifies that investments in insurance companies must be financed by the </w:t>
      </w:r>
      <w:r>
        <w:rPr>
          <w:rFonts w:hint="eastAsia"/>
          <w:bCs/>
          <w:kern w:val="0"/>
          <w:sz w:val="24"/>
        </w:rPr>
        <w:t>investor</w:t>
      </w:r>
      <w:r>
        <w:rPr>
          <w:bCs/>
          <w:kern w:val="0"/>
          <w:sz w:val="24"/>
        </w:rPr>
        <w:t>s’</w:t>
      </w:r>
      <w:r>
        <w:rPr>
          <w:rFonts w:hint="eastAsia"/>
          <w:bCs/>
          <w:kern w:val="0"/>
          <w:sz w:val="24"/>
        </w:rPr>
        <w:t xml:space="preserve"> </w:t>
      </w:r>
      <w:r>
        <w:rPr>
          <w:bCs/>
          <w:kern w:val="0"/>
          <w:sz w:val="24"/>
        </w:rPr>
        <w:t xml:space="preserve">own funds </w:t>
      </w:r>
      <w:r>
        <w:rPr>
          <w:rFonts w:hint="eastAsia"/>
          <w:bCs/>
          <w:kern w:val="0"/>
          <w:sz w:val="24"/>
        </w:rPr>
        <w:t>that are from</w:t>
      </w:r>
      <w:r>
        <w:rPr>
          <w:bCs/>
          <w:kern w:val="0"/>
          <w:sz w:val="24"/>
        </w:rPr>
        <w:t xml:space="preserve"> legitimate sources. In addition, </w:t>
      </w:r>
      <w:r>
        <w:rPr>
          <w:rFonts w:hint="eastAsia"/>
          <w:bCs/>
          <w:kern w:val="0"/>
          <w:sz w:val="24"/>
        </w:rPr>
        <w:t xml:space="preserve">changes in </w:t>
      </w:r>
      <w:r>
        <w:rPr>
          <w:bCs/>
          <w:kern w:val="0"/>
          <w:sz w:val="24"/>
        </w:rPr>
        <w:t>the actual controller of the shareholders of insurance companies must be</w:t>
      </w:r>
      <w:r>
        <w:rPr>
          <w:rFonts w:hint="eastAsia"/>
          <w:bCs/>
          <w:kern w:val="0"/>
          <w:sz w:val="24"/>
        </w:rPr>
        <w:t xml:space="preserve"> </w:t>
      </w:r>
      <w:r>
        <w:rPr>
          <w:bCs/>
          <w:kern w:val="0"/>
          <w:sz w:val="24"/>
        </w:rPr>
        <w:t>record</w:t>
      </w:r>
      <w:r>
        <w:rPr>
          <w:rFonts w:hint="eastAsia"/>
          <w:bCs/>
          <w:kern w:val="0"/>
          <w:sz w:val="24"/>
        </w:rPr>
        <w:t>ed</w:t>
      </w:r>
      <w:r>
        <w:rPr>
          <w:bCs/>
          <w:kern w:val="0"/>
          <w:sz w:val="24"/>
        </w:rPr>
        <w:t xml:space="preserve"> </w:t>
      </w:r>
      <w:r>
        <w:rPr>
          <w:rFonts w:hint="eastAsia"/>
          <w:bCs/>
          <w:kern w:val="0"/>
          <w:sz w:val="24"/>
        </w:rPr>
        <w:t>with regulators</w:t>
      </w:r>
      <w:r>
        <w:rPr>
          <w:bCs/>
          <w:kern w:val="0"/>
          <w:sz w:val="24"/>
        </w:rPr>
        <w:t xml:space="preserve">, focusing on solving the problems of concealed connections, hidden shareholders, illegal </w:t>
      </w:r>
      <w:r>
        <w:rPr>
          <w:rFonts w:hint="eastAsia"/>
          <w:bCs/>
          <w:kern w:val="0"/>
          <w:sz w:val="24"/>
        </w:rPr>
        <w:t>entrustment shareholding</w:t>
      </w:r>
      <w:r>
        <w:rPr>
          <w:bCs/>
          <w:kern w:val="0"/>
          <w:sz w:val="24"/>
        </w:rPr>
        <w:t xml:space="preserve">, and so forth. </w:t>
      </w:r>
    </w:p>
    <w:p>
      <w:pPr>
        <w:rPr>
          <w:bCs/>
          <w:kern w:val="0"/>
          <w:sz w:val="24"/>
        </w:rPr>
      </w:pPr>
    </w:p>
    <w:p>
      <w:pPr>
        <w:rPr>
          <w:bCs/>
          <w:kern w:val="0"/>
          <w:sz w:val="24"/>
        </w:rPr>
      </w:pPr>
      <w:r>
        <w:rPr>
          <w:b/>
          <w:kern w:val="0"/>
          <w:sz w:val="24"/>
        </w:rPr>
        <w:t xml:space="preserve">The </w:t>
      </w:r>
      <w:r>
        <w:rPr>
          <w:rFonts w:hint="eastAsia"/>
          <w:b/>
          <w:i/>
          <w:iCs/>
          <w:kern w:val="0"/>
          <w:sz w:val="24"/>
        </w:rPr>
        <w:t>Administrative Rules</w:t>
      </w:r>
      <w:r>
        <w:rPr>
          <w:b/>
          <w:i/>
          <w:iCs/>
          <w:kern w:val="0"/>
          <w:sz w:val="24"/>
        </w:rPr>
        <w:t xml:space="preserve"> on the Use of Insurance Funds</w:t>
      </w:r>
      <w:r>
        <w:rPr>
          <w:b/>
          <w:kern w:val="0"/>
          <w:sz w:val="24"/>
        </w:rPr>
        <w:t xml:space="preserve"> were released.</w:t>
      </w:r>
      <w:r>
        <w:rPr>
          <w:bCs/>
          <w:kern w:val="0"/>
          <w:sz w:val="24"/>
        </w:rPr>
        <w:t xml:space="preserve"> The insurance regulator further regulated the entrusted management of insurance funds by investment managers, </w:t>
      </w:r>
      <w:r>
        <w:rPr>
          <w:rFonts w:hint="eastAsia"/>
          <w:bCs/>
          <w:kern w:val="0"/>
          <w:sz w:val="24"/>
        </w:rPr>
        <w:t xml:space="preserve">banned </w:t>
      </w:r>
      <w:r>
        <w:rPr>
          <w:bCs/>
          <w:kern w:val="0"/>
          <w:sz w:val="24"/>
        </w:rPr>
        <w:t>channel businesses and re-entrustment</w:t>
      </w:r>
      <w:r>
        <w:rPr>
          <w:rFonts w:hint="eastAsia"/>
          <w:bCs/>
          <w:kern w:val="0"/>
          <w:sz w:val="24"/>
        </w:rPr>
        <w:t xml:space="preserve"> of the trusted funds</w:t>
      </w:r>
      <w:r>
        <w:rPr>
          <w:bCs/>
          <w:kern w:val="0"/>
          <w:sz w:val="24"/>
        </w:rPr>
        <w:t>,</w:t>
      </w:r>
      <w:r>
        <w:rPr>
          <w:rFonts w:hint="eastAsia"/>
          <w:bCs/>
          <w:kern w:val="0"/>
          <w:sz w:val="24"/>
        </w:rPr>
        <w:t xml:space="preserve"> strengthened</w:t>
      </w:r>
      <w:r>
        <w:rPr>
          <w:bCs/>
          <w:kern w:val="0"/>
          <w:sz w:val="24"/>
        </w:rPr>
        <w:t xml:space="preserve"> supervision of overseas investments</w:t>
      </w:r>
      <w:r>
        <w:rPr>
          <w:rFonts w:hint="eastAsia"/>
          <w:bCs/>
          <w:kern w:val="0"/>
          <w:sz w:val="24"/>
        </w:rPr>
        <w:t xml:space="preserve">, </w:t>
      </w:r>
      <w:r>
        <w:rPr>
          <w:bCs/>
          <w:kern w:val="0"/>
          <w:sz w:val="24"/>
        </w:rPr>
        <w:t>and impos</w:t>
      </w:r>
      <w:r>
        <w:rPr>
          <w:rFonts w:hint="eastAsia"/>
          <w:bCs/>
          <w:kern w:val="0"/>
          <w:sz w:val="24"/>
        </w:rPr>
        <w:t>ed</w:t>
      </w:r>
      <w:r>
        <w:rPr>
          <w:bCs/>
          <w:kern w:val="0"/>
          <w:sz w:val="24"/>
        </w:rPr>
        <w:t xml:space="preserve"> conditions</w:t>
      </w:r>
      <w:r>
        <w:rPr>
          <w:rFonts w:hint="eastAsia"/>
          <w:bCs/>
          <w:kern w:val="0"/>
          <w:sz w:val="24"/>
        </w:rPr>
        <w:t xml:space="preserve"> on</w:t>
      </w:r>
      <w:r>
        <w:rPr>
          <w:bCs/>
          <w:kern w:val="0"/>
          <w:sz w:val="24"/>
        </w:rPr>
        <w:t xml:space="preserve"> overseas investments with insurance funds. Information disclosures on how insurance funds are used were also strengthened.</w:t>
      </w:r>
    </w:p>
    <w:p>
      <w:pPr>
        <w:rPr>
          <w:bCs/>
          <w:kern w:val="0"/>
          <w:sz w:val="24"/>
        </w:rPr>
      </w:pPr>
    </w:p>
    <w:p>
      <w:pPr>
        <w:rPr>
          <w:bCs/>
          <w:kern w:val="0"/>
          <w:sz w:val="24"/>
        </w:rPr>
      </w:pPr>
      <w:r>
        <w:rPr>
          <w:b/>
          <w:kern w:val="0"/>
          <w:sz w:val="24"/>
        </w:rPr>
        <w:t xml:space="preserve">Rules on supervising asset/liability management in insurance companies </w:t>
      </w:r>
      <w:r>
        <w:rPr>
          <w:rFonts w:hint="eastAsia"/>
          <w:b/>
          <w:kern w:val="0"/>
          <w:sz w:val="24"/>
        </w:rPr>
        <w:t>were</w:t>
      </w:r>
      <w:r>
        <w:rPr>
          <w:b/>
          <w:kern w:val="0"/>
          <w:sz w:val="24"/>
        </w:rPr>
        <w:t xml:space="preserve"> released. </w:t>
      </w:r>
      <w:r>
        <w:rPr>
          <w:bCs/>
          <w:kern w:val="0"/>
          <w:sz w:val="24"/>
        </w:rPr>
        <w:t xml:space="preserve">This </w:t>
      </w:r>
      <w:r>
        <w:rPr>
          <w:rFonts w:hint="eastAsia"/>
          <w:bCs/>
          <w:kern w:val="0"/>
          <w:sz w:val="24"/>
        </w:rPr>
        <w:t xml:space="preserve">asset liability </w:t>
      </w:r>
      <w:r>
        <w:rPr>
          <w:bCs/>
          <w:kern w:val="0"/>
          <w:sz w:val="24"/>
        </w:rPr>
        <w:t xml:space="preserve">supervision system </w:t>
      </w:r>
      <w:r>
        <w:rPr>
          <w:rFonts w:hint="eastAsia"/>
          <w:bCs/>
          <w:kern w:val="0"/>
          <w:sz w:val="24"/>
        </w:rPr>
        <w:t>is</w:t>
      </w:r>
      <w:r>
        <w:rPr>
          <w:bCs/>
          <w:kern w:val="0"/>
          <w:sz w:val="24"/>
        </w:rPr>
        <w:t xml:space="preserve"> based on qualitative and quantitative assessments. First, in line with the need for asset/liability management, the insurance regulator </w:t>
      </w:r>
      <w:r>
        <w:rPr>
          <w:rFonts w:hint="eastAsia"/>
          <w:bCs/>
          <w:kern w:val="0"/>
          <w:sz w:val="24"/>
        </w:rPr>
        <w:t xml:space="preserve">has </w:t>
      </w:r>
      <w:r>
        <w:rPr>
          <w:bCs/>
          <w:kern w:val="0"/>
          <w:sz w:val="24"/>
        </w:rPr>
        <w:t>developed requirements for the purpose and methods, organization</w:t>
      </w:r>
      <w:r>
        <w:rPr>
          <w:rFonts w:hint="eastAsia"/>
          <w:bCs/>
          <w:kern w:val="0"/>
          <w:sz w:val="24"/>
        </w:rPr>
        <w:t>al structure</w:t>
      </w:r>
      <w:r>
        <w:rPr>
          <w:bCs/>
          <w:kern w:val="0"/>
          <w:sz w:val="24"/>
        </w:rPr>
        <w:t>, responsibilities</w:t>
      </w:r>
      <w:r>
        <w:rPr>
          <w:rFonts w:hint="eastAsia"/>
          <w:bCs/>
          <w:kern w:val="0"/>
          <w:sz w:val="24"/>
        </w:rPr>
        <w:t xml:space="preserve"> of staff members</w:t>
      </w:r>
      <w:r>
        <w:rPr>
          <w:bCs/>
          <w:kern w:val="0"/>
          <w:sz w:val="24"/>
        </w:rPr>
        <w:t xml:space="preserve">, work flows, systems and models, as well as performance evaluations, so as to review insurance companies’ capacity to manage their assets and liabilities in a qualitative way. Second, a </w:t>
      </w:r>
      <w:r>
        <w:rPr>
          <w:rFonts w:hint="eastAsia"/>
          <w:bCs/>
          <w:kern w:val="0"/>
          <w:sz w:val="24"/>
        </w:rPr>
        <w:t>comprehensive</w:t>
      </w:r>
      <w:r>
        <w:rPr>
          <w:bCs/>
          <w:kern w:val="0"/>
          <w:sz w:val="24"/>
        </w:rPr>
        <w:t xml:space="preserve"> and quantitative evaluation of how insurance companies match their assets</w:t>
      </w:r>
      <w:r>
        <w:rPr>
          <w:rFonts w:hint="eastAsia"/>
          <w:bCs/>
          <w:kern w:val="0"/>
          <w:sz w:val="24"/>
        </w:rPr>
        <w:t xml:space="preserve"> </w:t>
      </w:r>
      <w:r>
        <w:rPr>
          <w:bCs/>
          <w:kern w:val="0"/>
          <w:sz w:val="24"/>
        </w:rPr>
        <w:t>with liabilities</w:t>
      </w:r>
      <w:r>
        <w:rPr>
          <w:rFonts w:hint="eastAsia"/>
          <w:bCs/>
          <w:kern w:val="0"/>
          <w:sz w:val="24"/>
        </w:rPr>
        <w:t xml:space="preserve"> is required by </w:t>
      </w:r>
      <w:r>
        <w:rPr>
          <w:bCs/>
          <w:kern w:val="0"/>
          <w:sz w:val="24"/>
        </w:rPr>
        <w:t xml:space="preserve">looking into the maturity structure, cost </w:t>
      </w:r>
      <w:r>
        <w:rPr>
          <w:rFonts w:hint="eastAsia"/>
          <w:bCs/>
          <w:kern w:val="0"/>
          <w:sz w:val="24"/>
        </w:rPr>
        <w:t>efficiency</w:t>
      </w:r>
      <w:r>
        <w:rPr>
          <w:bCs/>
          <w:kern w:val="0"/>
          <w:sz w:val="24"/>
        </w:rPr>
        <w:t>, and cash flows.</w:t>
      </w:r>
    </w:p>
    <w:p>
      <w:pPr>
        <w:rPr>
          <w:bCs/>
          <w:kern w:val="0"/>
          <w:sz w:val="24"/>
        </w:rPr>
      </w:pPr>
    </w:p>
    <w:p>
      <w:pPr>
        <w:keepNext/>
        <w:keepLines/>
        <w:spacing w:beforeLines="100" w:afterLines="100"/>
        <w:jc w:val="center"/>
        <w:outlineLvl w:val="0"/>
        <w:rPr>
          <w:rFonts w:eastAsia="仿宋_GB2312"/>
          <w:b/>
          <w:sz w:val="36"/>
          <w:szCs w:val="36"/>
        </w:rPr>
      </w:pPr>
      <w:bookmarkStart w:id="113" w:name="_Toc517190518"/>
      <w:r>
        <w:rPr>
          <w:rFonts w:eastAsia="仿宋_GB2312"/>
          <w:b/>
          <w:sz w:val="36"/>
          <w:szCs w:val="36"/>
        </w:rPr>
        <w:t>Part 4.  Macro-economic Overview</w:t>
      </w:r>
      <w:bookmarkEnd w:id="113"/>
    </w:p>
    <w:p>
      <w:pPr>
        <w:rPr>
          <w:b/>
          <w:kern w:val="0"/>
          <w:sz w:val="24"/>
        </w:rPr>
      </w:pPr>
    </w:p>
    <w:p>
      <w:pPr>
        <w:pStyle w:val="3"/>
        <w:keepLines w:val="0"/>
        <w:widowControl/>
        <w:spacing w:before="0" w:after="0"/>
        <w:ind w:firstLine="0" w:firstLineChars="0"/>
        <w:rPr>
          <w:rFonts w:ascii="Times New Roman" w:hAnsi="Times New Roman"/>
          <w:iCs/>
          <w:kern w:val="0"/>
          <w:sz w:val="24"/>
          <w:szCs w:val="24"/>
          <w:lang w:eastAsia="zh-TW"/>
        </w:rPr>
      </w:pPr>
      <w:bookmarkStart w:id="114" w:name="_Toc517190519"/>
      <w:r>
        <w:rPr>
          <w:rFonts w:ascii="Times New Roman" w:hAnsi="Times New Roman"/>
          <w:iCs/>
          <w:kern w:val="0"/>
          <w:sz w:val="24"/>
          <w:szCs w:val="24"/>
          <w:lang w:eastAsia="zh-TW"/>
        </w:rPr>
        <w:t>I. Global Economic and Financial Developments</w:t>
      </w:r>
      <w:bookmarkEnd w:id="114"/>
    </w:p>
    <w:p>
      <w:pPr>
        <w:rPr>
          <w:bCs/>
          <w:kern w:val="0"/>
          <w:sz w:val="24"/>
        </w:rPr>
      </w:pPr>
    </w:p>
    <w:p>
      <w:pPr>
        <w:rPr>
          <w:bCs/>
          <w:kern w:val="0"/>
          <w:sz w:val="24"/>
        </w:rPr>
      </w:pPr>
      <w:r>
        <w:rPr>
          <w:bCs/>
          <w:kern w:val="0"/>
          <w:sz w:val="24"/>
        </w:rPr>
        <w:t>Since the beginning of 2018, the global economy has continued its recovery with positive developments. The labor market continued to strengthen and inflation remained subdued. Growth remained strong in the U.S., the recovery moderated in the euro area and the UK, and the Japanese economy grew steadily. The emerging market economies grew relatively rapidly, but performance continued to diverge with some economies still facing economic restructuring and transformation pressures.</w:t>
      </w:r>
    </w:p>
    <w:p>
      <w:pPr>
        <w:rPr>
          <w:bCs/>
          <w:kern w:val="0"/>
          <w:sz w:val="24"/>
        </w:rPr>
      </w:pPr>
    </w:p>
    <w:p>
      <w:pPr>
        <w:rPr>
          <w:b/>
          <w:bCs/>
          <w:kern w:val="0"/>
          <w:sz w:val="24"/>
        </w:rPr>
      </w:pPr>
      <w:r>
        <w:rPr>
          <w:b/>
          <w:bCs/>
          <w:kern w:val="0"/>
          <w:sz w:val="24"/>
        </w:rPr>
        <w:t>1. Economic Developments in the Major Economies</w:t>
      </w:r>
    </w:p>
    <w:p>
      <w:pPr>
        <w:rPr>
          <w:bCs/>
          <w:kern w:val="0"/>
          <w:sz w:val="24"/>
        </w:rPr>
      </w:pPr>
    </w:p>
    <w:p>
      <w:pPr>
        <w:rPr>
          <w:bCs/>
          <w:kern w:val="0"/>
          <w:sz w:val="24"/>
        </w:rPr>
      </w:pPr>
      <w:r>
        <w:rPr>
          <w:bCs/>
          <w:kern w:val="0"/>
          <w:sz w:val="24"/>
        </w:rPr>
        <w:t>The major advanced economies continued their recovery, but some economic indicators underperformed slightly compared with Q4 2017 due to seasonal factors. The U.S. saw solid gains in its economic recovery, inflation went up somewhat, and the jobless rate remained at low levels. The annualized quarter-on-quarter GDP growth was 2.3 percent in Q1 2018. In March, the Purchasing Managers’ Index (PMI) generated by the Institute for Supply Management was 59.3, above 50 for 19 consecutive months; and the University of Michigan’s Consumer Sentiment Index was 101.4, a record high. Inflation went up slightly, as the core Consumer Price Index (CPI) rose 1.8 percent and 2.3 percent in February and March, respectively. The labor market continued to be tight, as the jobless rate remained at 4.1 percent since October 2017, the lowest level since 2001.      </w:t>
      </w:r>
    </w:p>
    <w:p>
      <w:pPr>
        <w:rPr>
          <w:bCs/>
          <w:kern w:val="0"/>
          <w:sz w:val="24"/>
        </w:rPr>
      </w:pPr>
    </w:p>
    <w:p>
      <w:pPr>
        <w:rPr>
          <w:bCs/>
          <w:kern w:val="0"/>
          <w:sz w:val="24"/>
        </w:rPr>
      </w:pPr>
      <w:r>
        <w:rPr>
          <w:bCs/>
          <w:kern w:val="0"/>
          <w:sz w:val="24"/>
        </w:rPr>
        <w:t>In the euro area, due to unexpectedly cold weather, the economic recovery moderated, but the job market continued to become stronger. In Q1, the euro area manufacturing PMI continued to fall, hitting a 12-month low in March. Inflation remained subdued, as year-on-year growth of the core Harmonized Index of Consumer Prices (HICP) was above 1 percent for three consecutive months, with the overall price level slightly higher than that in Q4 2017. The unemployment rate fell to 8.5 percent in February, the lowest level since December 2008</w:t>
      </w:r>
    </w:p>
    <w:p>
      <w:pPr>
        <w:rPr>
          <w:bCs/>
          <w:kern w:val="0"/>
          <w:sz w:val="24"/>
        </w:rPr>
      </w:pPr>
    </w:p>
    <w:p>
      <w:pPr>
        <w:rPr>
          <w:bCs/>
          <w:kern w:val="0"/>
          <w:sz w:val="24"/>
        </w:rPr>
      </w:pPr>
      <w:r>
        <w:rPr>
          <w:bCs/>
          <w:kern w:val="0"/>
          <w:sz w:val="24"/>
        </w:rPr>
        <w:t>Growth in the UK moderated somewhat. GDP growth posted 1.7 percent in 2017, and the CPI rose 2.5 percent year on year in March of this year, consistently higher than the target set by the Bank of England (BOE). The UK has recently reached a Brexit transition deal with the European Union, but uncertainties still remain. </w:t>
      </w:r>
    </w:p>
    <w:p>
      <w:pPr>
        <w:rPr>
          <w:bCs/>
          <w:kern w:val="0"/>
          <w:sz w:val="24"/>
        </w:rPr>
      </w:pPr>
    </w:p>
    <w:p>
      <w:pPr>
        <w:rPr>
          <w:bCs/>
          <w:kern w:val="0"/>
          <w:sz w:val="24"/>
        </w:rPr>
      </w:pPr>
      <w:r>
        <w:rPr>
          <w:bCs/>
          <w:kern w:val="0"/>
          <w:sz w:val="24"/>
        </w:rPr>
        <w:t>The Japanese economy continued its moderate recovery. As of Q4 2017, GDP had grown for eight consecutive quarters, the longest growth streak in nearly 30 years. Since the beginning of 2018, expansion on the production side has moderated slightly, inflation expectations have remained subdued, and employers have been reluctant to raise wages, causing inflation to remain at low levels.</w:t>
      </w:r>
    </w:p>
    <w:p>
      <w:pPr>
        <w:rPr>
          <w:bCs/>
          <w:kern w:val="0"/>
          <w:sz w:val="24"/>
        </w:rPr>
      </w:pPr>
    </w:p>
    <w:p>
      <w:pPr>
        <w:rPr>
          <w:bCs/>
          <w:kern w:val="0"/>
          <w:sz w:val="24"/>
        </w:rPr>
      </w:pPr>
      <w:r>
        <w:rPr>
          <w:b/>
          <w:bCs/>
          <w:kern w:val="0"/>
          <w:sz w:val="24"/>
        </w:rPr>
        <w:t>Overall growth in the emerging market economies was relatively rapid, though performance continued to diverge as some of the emerging market economies still faced restructuring and transformation pressures</w:t>
      </w:r>
      <w:r>
        <w:rPr>
          <w:bCs/>
          <w:kern w:val="0"/>
          <w:sz w:val="24"/>
        </w:rPr>
        <w:t>. Brazil saw positive growth developments, as the year-on-year growth of GDP in Q4 2017 hit its highest growth since Q2 2014. Manufacturing continued to expand since the start of 2018, with the PMI in March hitting a new high since March 2011. Due to a rebound in the prices of commodities such as oil, Russia’s economy gradually stabilized and inflation declined after being controlled. The Indian economy remained generally stable. Sentiment in the manufacturing and service sectors weakened slightly, and inflationary pressures went up a bit, as the CPI grew 5.1 percent year on year in January, a record high since September 2016. Growth in South Africa remained anemic amid a stubbornly high unemployment rate, but lately South Africa has shown signs of recovery on the back of government policy commitment to improve investment and economic prospects. In late March, Moody’s, the credit-rating agency, affirmed South Africa’s investment-grade credit rating and revised its credit outlook from negative to stable. Against the backdrop of policy normalization in the advanced economies, a number of emerging market economies may face potential risks, such as volatile cross-border capital flows. Economic restructuring and transformation pressures continued.          </w:t>
      </w:r>
    </w:p>
    <w:p>
      <w:pPr>
        <w:rPr>
          <w:bCs/>
          <w:kern w:val="0"/>
          <w:sz w:val="24"/>
        </w:rPr>
      </w:pPr>
    </w:p>
    <w:p>
      <w:pPr>
        <w:keepNext/>
        <w:autoSpaceDE w:val="0"/>
        <w:autoSpaceDN w:val="0"/>
        <w:adjustRightInd w:val="0"/>
        <w:rPr>
          <w:rFonts w:eastAsiaTheme="minorEastAsia"/>
          <w:sz w:val="24"/>
        </w:rPr>
      </w:pPr>
      <w:bookmarkStart w:id="115" w:name="_Toc517190868"/>
      <w:r>
        <w:rPr>
          <w:rFonts w:eastAsia="仿宋_GB2312"/>
          <w:sz w:val="24"/>
        </w:rPr>
        <w:t xml:space="preserve">Table </w:t>
      </w:r>
      <w:r>
        <w:rPr>
          <w:rFonts w:eastAsia="仿宋_GB2312"/>
          <w:sz w:val="24"/>
        </w:rPr>
        <w:fldChar w:fldCharType="begin"/>
      </w:r>
      <w:r>
        <w:rPr>
          <w:rFonts w:eastAsia="仿宋_GB2312"/>
          <w:sz w:val="24"/>
        </w:rPr>
        <w:instrText xml:space="preserve"> SEQ Table \* ARABIC </w:instrText>
      </w:r>
      <w:r>
        <w:rPr>
          <w:rFonts w:eastAsia="仿宋_GB2312"/>
          <w:sz w:val="24"/>
        </w:rPr>
        <w:fldChar w:fldCharType="separate"/>
      </w:r>
      <w:r>
        <w:rPr>
          <w:rFonts w:eastAsia="仿宋_GB2312"/>
          <w:sz w:val="24"/>
        </w:rPr>
        <w:t>13</w:t>
      </w:r>
      <w:r>
        <w:rPr>
          <w:rFonts w:eastAsia="仿宋_GB2312"/>
          <w:sz w:val="24"/>
        </w:rPr>
        <w:fldChar w:fldCharType="end"/>
      </w:r>
      <w:r>
        <w:rPr>
          <w:rFonts w:eastAsia="仿宋_GB2312"/>
          <w:sz w:val="24"/>
        </w:rPr>
        <w:t>. Macro-economic and Financial Indicators in the Major Advanced Economies</w:t>
      </w:r>
      <w:bookmarkEnd w:id="115"/>
    </w:p>
    <w:tbl>
      <w:tblPr>
        <w:tblStyle w:val="96"/>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1544"/>
        <w:gridCol w:w="583"/>
        <w:gridCol w:w="494"/>
        <w:gridCol w:w="514"/>
        <w:gridCol w:w="531"/>
        <w:gridCol w:w="567"/>
        <w:gridCol w:w="499"/>
        <w:gridCol w:w="567"/>
        <w:gridCol w:w="567"/>
        <w:gridCol w:w="472"/>
        <w:gridCol w:w="567"/>
        <w:gridCol w:w="567"/>
        <w:gridCol w:w="567"/>
        <w:gridCol w:w="443"/>
        <w:gridCol w:w="73"/>
        <w:gridCol w:w="46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restart"/>
            <w:vAlign w:val="center"/>
          </w:tcPr>
          <w:p>
            <w:pPr>
              <w:rPr>
                <w:bCs/>
                <w:kern w:val="0"/>
                <w:sz w:val="24"/>
              </w:rPr>
            </w:pPr>
            <w:r>
              <w:rPr>
                <w:bCs/>
                <w:kern w:val="0"/>
                <w:sz w:val="24"/>
              </w:rPr>
              <w:t>Country</w:t>
            </w:r>
          </w:p>
        </w:tc>
        <w:tc>
          <w:tcPr>
            <w:tcW w:w="1544" w:type="dxa"/>
            <w:vMerge w:val="restart"/>
            <w:vAlign w:val="center"/>
          </w:tcPr>
          <w:p>
            <w:pPr>
              <w:rPr>
                <w:bCs/>
                <w:kern w:val="0"/>
                <w:sz w:val="24"/>
              </w:rPr>
            </w:pPr>
            <w:r>
              <w:rPr>
                <w:bCs/>
                <w:kern w:val="0"/>
                <w:sz w:val="24"/>
              </w:rPr>
              <w:t xml:space="preserve">Indicator </w:t>
            </w:r>
          </w:p>
        </w:tc>
        <w:tc>
          <w:tcPr>
            <w:tcW w:w="1591" w:type="dxa"/>
            <w:gridSpan w:val="3"/>
            <w:vAlign w:val="center"/>
          </w:tcPr>
          <w:p>
            <w:pPr>
              <w:rPr>
                <w:bCs/>
                <w:kern w:val="0"/>
                <w:sz w:val="24"/>
              </w:rPr>
            </w:pPr>
            <w:r>
              <w:rPr>
                <w:bCs/>
                <w:kern w:val="0"/>
                <w:sz w:val="24"/>
              </w:rPr>
              <w:t>2017Q1</w:t>
            </w:r>
          </w:p>
        </w:tc>
        <w:tc>
          <w:tcPr>
            <w:tcW w:w="1597" w:type="dxa"/>
            <w:gridSpan w:val="3"/>
            <w:vAlign w:val="center"/>
          </w:tcPr>
          <w:p>
            <w:pPr>
              <w:rPr>
                <w:bCs/>
                <w:kern w:val="0"/>
                <w:sz w:val="24"/>
              </w:rPr>
            </w:pPr>
            <w:r>
              <w:rPr>
                <w:bCs/>
                <w:kern w:val="0"/>
                <w:sz w:val="24"/>
              </w:rPr>
              <w:t>2017Q2</w:t>
            </w:r>
          </w:p>
        </w:tc>
        <w:tc>
          <w:tcPr>
            <w:tcW w:w="1606" w:type="dxa"/>
            <w:gridSpan w:val="3"/>
            <w:vAlign w:val="center"/>
          </w:tcPr>
          <w:p>
            <w:pPr>
              <w:rPr>
                <w:bCs/>
                <w:kern w:val="0"/>
                <w:sz w:val="24"/>
              </w:rPr>
            </w:pPr>
            <w:r>
              <w:rPr>
                <w:bCs/>
                <w:kern w:val="0"/>
                <w:sz w:val="24"/>
              </w:rPr>
              <w:t>2017Q3</w:t>
            </w:r>
          </w:p>
        </w:tc>
        <w:tc>
          <w:tcPr>
            <w:tcW w:w="1701" w:type="dxa"/>
            <w:gridSpan w:val="3"/>
            <w:vAlign w:val="center"/>
          </w:tcPr>
          <w:p>
            <w:pPr>
              <w:rPr>
                <w:bCs/>
                <w:kern w:val="0"/>
                <w:sz w:val="24"/>
              </w:rPr>
            </w:pPr>
            <w:r>
              <w:rPr>
                <w:bCs/>
                <w:kern w:val="0"/>
                <w:sz w:val="24"/>
              </w:rPr>
              <w:t>2017Q4</w:t>
            </w:r>
          </w:p>
        </w:tc>
        <w:tc>
          <w:tcPr>
            <w:tcW w:w="1474" w:type="dxa"/>
            <w:gridSpan w:val="4"/>
            <w:vAlign w:val="center"/>
          </w:tcPr>
          <w:p>
            <w:pPr>
              <w:rPr>
                <w:bCs/>
                <w:kern w:val="0"/>
                <w:sz w:val="24"/>
              </w:rPr>
            </w:pPr>
            <w:r>
              <w:rPr>
                <w:bCs/>
                <w:kern w:val="0"/>
                <w:sz w:val="24"/>
              </w:rPr>
              <w:t>2018Q1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continue"/>
            <w:vAlign w:val="center"/>
          </w:tcPr>
          <w:p>
            <w:pPr>
              <w:rPr>
                <w:bCs/>
                <w:kern w:val="0"/>
                <w:sz w:val="24"/>
              </w:rPr>
            </w:pPr>
          </w:p>
        </w:tc>
        <w:tc>
          <w:tcPr>
            <w:tcW w:w="1544" w:type="dxa"/>
            <w:vMerge w:val="continue"/>
            <w:vAlign w:val="center"/>
          </w:tcPr>
          <w:p>
            <w:pPr>
              <w:rPr>
                <w:bCs/>
                <w:kern w:val="0"/>
                <w:sz w:val="24"/>
              </w:rPr>
            </w:pPr>
          </w:p>
        </w:tc>
        <w:tc>
          <w:tcPr>
            <w:tcW w:w="583" w:type="dxa"/>
            <w:vAlign w:val="center"/>
          </w:tcPr>
          <w:p>
            <w:pPr>
              <w:rPr>
                <w:bCs/>
                <w:kern w:val="0"/>
                <w:sz w:val="24"/>
              </w:rPr>
            </w:pPr>
            <w:r>
              <w:rPr>
                <w:bCs/>
                <w:kern w:val="0"/>
                <w:sz w:val="24"/>
              </w:rPr>
              <w:t>Jan.</w:t>
            </w:r>
          </w:p>
        </w:tc>
        <w:tc>
          <w:tcPr>
            <w:tcW w:w="494" w:type="dxa"/>
            <w:vAlign w:val="center"/>
          </w:tcPr>
          <w:p>
            <w:pPr>
              <w:rPr>
                <w:bCs/>
                <w:kern w:val="0"/>
                <w:sz w:val="24"/>
              </w:rPr>
            </w:pPr>
            <w:r>
              <w:rPr>
                <w:bCs/>
                <w:kern w:val="0"/>
                <w:sz w:val="24"/>
              </w:rPr>
              <w:t>Feb.</w:t>
            </w:r>
          </w:p>
        </w:tc>
        <w:tc>
          <w:tcPr>
            <w:tcW w:w="514" w:type="dxa"/>
            <w:vAlign w:val="center"/>
          </w:tcPr>
          <w:p>
            <w:pPr>
              <w:rPr>
                <w:bCs/>
                <w:kern w:val="0"/>
                <w:sz w:val="24"/>
              </w:rPr>
            </w:pPr>
            <w:r>
              <w:rPr>
                <w:bCs/>
                <w:kern w:val="0"/>
                <w:sz w:val="24"/>
              </w:rPr>
              <w:t>Mar.</w:t>
            </w:r>
          </w:p>
        </w:tc>
        <w:tc>
          <w:tcPr>
            <w:tcW w:w="531" w:type="dxa"/>
            <w:vAlign w:val="center"/>
          </w:tcPr>
          <w:p>
            <w:pPr>
              <w:rPr>
                <w:bCs/>
                <w:kern w:val="0"/>
                <w:sz w:val="24"/>
              </w:rPr>
            </w:pPr>
            <w:r>
              <w:rPr>
                <w:bCs/>
                <w:kern w:val="0"/>
                <w:sz w:val="24"/>
              </w:rPr>
              <w:t>Apr.</w:t>
            </w:r>
          </w:p>
        </w:tc>
        <w:tc>
          <w:tcPr>
            <w:tcW w:w="567" w:type="dxa"/>
            <w:vAlign w:val="center"/>
          </w:tcPr>
          <w:p>
            <w:pPr>
              <w:rPr>
                <w:bCs/>
                <w:kern w:val="0"/>
                <w:sz w:val="24"/>
              </w:rPr>
            </w:pPr>
            <w:r>
              <w:rPr>
                <w:bCs/>
                <w:kern w:val="0"/>
                <w:sz w:val="24"/>
              </w:rPr>
              <w:t>May</w:t>
            </w:r>
          </w:p>
        </w:tc>
        <w:tc>
          <w:tcPr>
            <w:tcW w:w="499" w:type="dxa"/>
            <w:vAlign w:val="center"/>
          </w:tcPr>
          <w:p>
            <w:pPr>
              <w:rPr>
                <w:bCs/>
                <w:kern w:val="0"/>
                <w:sz w:val="24"/>
              </w:rPr>
            </w:pPr>
            <w:r>
              <w:rPr>
                <w:bCs/>
                <w:kern w:val="0"/>
                <w:sz w:val="24"/>
              </w:rPr>
              <w:t>Jun.</w:t>
            </w:r>
          </w:p>
        </w:tc>
        <w:tc>
          <w:tcPr>
            <w:tcW w:w="567" w:type="dxa"/>
            <w:vAlign w:val="center"/>
          </w:tcPr>
          <w:p>
            <w:pPr>
              <w:rPr>
                <w:bCs/>
                <w:kern w:val="0"/>
                <w:sz w:val="24"/>
              </w:rPr>
            </w:pPr>
            <w:r>
              <w:rPr>
                <w:bCs/>
                <w:kern w:val="0"/>
                <w:sz w:val="24"/>
              </w:rPr>
              <w:t>Jul.</w:t>
            </w:r>
          </w:p>
        </w:tc>
        <w:tc>
          <w:tcPr>
            <w:tcW w:w="567" w:type="dxa"/>
            <w:vAlign w:val="center"/>
          </w:tcPr>
          <w:p>
            <w:pPr>
              <w:rPr>
                <w:bCs/>
                <w:kern w:val="0"/>
                <w:sz w:val="24"/>
              </w:rPr>
            </w:pPr>
            <w:r>
              <w:rPr>
                <w:bCs/>
                <w:kern w:val="0"/>
                <w:sz w:val="24"/>
              </w:rPr>
              <w:t>Aug.</w:t>
            </w:r>
          </w:p>
        </w:tc>
        <w:tc>
          <w:tcPr>
            <w:tcW w:w="472" w:type="dxa"/>
            <w:vAlign w:val="center"/>
          </w:tcPr>
          <w:p>
            <w:pPr>
              <w:rPr>
                <w:bCs/>
                <w:kern w:val="0"/>
                <w:sz w:val="24"/>
              </w:rPr>
            </w:pPr>
            <w:r>
              <w:rPr>
                <w:bCs/>
                <w:kern w:val="0"/>
                <w:sz w:val="24"/>
              </w:rPr>
              <w:t>Sept.</w:t>
            </w:r>
          </w:p>
        </w:tc>
        <w:tc>
          <w:tcPr>
            <w:tcW w:w="567" w:type="dxa"/>
            <w:vAlign w:val="center"/>
          </w:tcPr>
          <w:p>
            <w:pPr>
              <w:rPr>
                <w:bCs/>
                <w:kern w:val="0"/>
                <w:sz w:val="24"/>
              </w:rPr>
            </w:pPr>
            <w:r>
              <w:rPr>
                <w:bCs/>
                <w:kern w:val="0"/>
                <w:sz w:val="24"/>
              </w:rPr>
              <w:t>Oct.</w:t>
            </w:r>
          </w:p>
        </w:tc>
        <w:tc>
          <w:tcPr>
            <w:tcW w:w="567" w:type="dxa"/>
            <w:vAlign w:val="center"/>
          </w:tcPr>
          <w:p>
            <w:pPr>
              <w:rPr>
                <w:bCs/>
                <w:kern w:val="0"/>
                <w:sz w:val="24"/>
              </w:rPr>
            </w:pPr>
            <w:r>
              <w:rPr>
                <w:bCs/>
                <w:kern w:val="0"/>
                <w:sz w:val="24"/>
              </w:rPr>
              <w:t>Nov.</w:t>
            </w:r>
          </w:p>
        </w:tc>
        <w:tc>
          <w:tcPr>
            <w:tcW w:w="567" w:type="dxa"/>
            <w:vAlign w:val="center"/>
          </w:tcPr>
          <w:p>
            <w:pPr>
              <w:rPr>
                <w:bCs/>
                <w:kern w:val="0"/>
                <w:sz w:val="24"/>
              </w:rPr>
            </w:pPr>
            <w:r>
              <w:rPr>
                <w:bCs/>
                <w:kern w:val="0"/>
                <w:sz w:val="24"/>
              </w:rPr>
              <w:t>Dec.</w:t>
            </w:r>
          </w:p>
        </w:tc>
        <w:tc>
          <w:tcPr>
            <w:tcW w:w="443" w:type="dxa"/>
            <w:vAlign w:val="center"/>
          </w:tcPr>
          <w:p>
            <w:pPr>
              <w:rPr>
                <w:bCs/>
                <w:kern w:val="0"/>
                <w:sz w:val="24"/>
              </w:rPr>
            </w:pPr>
            <w:r>
              <w:rPr>
                <w:bCs/>
                <w:kern w:val="0"/>
                <w:sz w:val="24"/>
              </w:rPr>
              <w:t>Jan.</w:t>
            </w:r>
          </w:p>
        </w:tc>
        <w:tc>
          <w:tcPr>
            <w:tcW w:w="537" w:type="dxa"/>
            <w:gridSpan w:val="2"/>
            <w:vAlign w:val="center"/>
          </w:tcPr>
          <w:p>
            <w:pPr>
              <w:rPr>
                <w:bCs/>
                <w:kern w:val="0"/>
                <w:sz w:val="24"/>
              </w:rPr>
            </w:pPr>
            <w:r>
              <w:rPr>
                <w:bCs/>
                <w:kern w:val="0"/>
                <w:sz w:val="24"/>
              </w:rPr>
              <w:t>Feb.</w:t>
            </w:r>
          </w:p>
        </w:tc>
        <w:tc>
          <w:tcPr>
            <w:tcW w:w="494" w:type="dxa"/>
            <w:vAlign w:val="center"/>
          </w:tcPr>
          <w:p>
            <w:pPr>
              <w:rPr>
                <w:bCs/>
                <w:kern w:val="0"/>
                <w:sz w:val="24"/>
              </w:rPr>
            </w:pPr>
            <w:r>
              <w:rPr>
                <w:bCs/>
                <w:kern w:val="0"/>
                <w:sz w:val="24"/>
              </w:rPr>
              <w:t>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restart"/>
            <w:shd w:val="clear" w:color="auto" w:fill="auto"/>
            <w:textDirection w:val="tbRlV"/>
            <w:vAlign w:val="center"/>
          </w:tcPr>
          <w:p>
            <w:pPr>
              <w:rPr>
                <w:bCs/>
                <w:kern w:val="0"/>
                <w:sz w:val="24"/>
              </w:rPr>
            </w:pPr>
            <w:r>
              <w:rPr>
                <w:bCs/>
                <w:kern w:val="0"/>
                <w:sz w:val="24"/>
              </w:rPr>
              <w:t>United States</w:t>
            </w:r>
          </w:p>
        </w:tc>
        <w:tc>
          <w:tcPr>
            <w:tcW w:w="1544" w:type="dxa"/>
            <w:shd w:val="clear" w:color="auto" w:fill="CCFFCC"/>
            <w:vAlign w:val="bottom"/>
          </w:tcPr>
          <w:p>
            <w:pPr>
              <w:rPr>
                <w:bCs/>
                <w:kern w:val="0"/>
                <w:sz w:val="24"/>
              </w:rPr>
            </w:pPr>
            <w:r>
              <w:rPr>
                <w:bCs/>
                <w:kern w:val="0"/>
                <w:sz w:val="24"/>
              </w:rPr>
              <w:t>Real GDP Growth (annualized quarterly rate, %)</w:t>
            </w:r>
          </w:p>
        </w:tc>
        <w:tc>
          <w:tcPr>
            <w:tcW w:w="1591" w:type="dxa"/>
            <w:gridSpan w:val="3"/>
            <w:shd w:val="clear" w:color="auto" w:fill="CCFFCC"/>
            <w:vAlign w:val="center"/>
          </w:tcPr>
          <w:p>
            <w:pPr>
              <w:rPr>
                <w:bCs/>
                <w:kern w:val="0"/>
                <w:sz w:val="24"/>
              </w:rPr>
            </w:pPr>
            <w:r>
              <w:rPr>
                <w:bCs/>
                <w:kern w:val="0"/>
                <w:sz w:val="24"/>
              </w:rPr>
              <w:t>1.2</w:t>
            </w:r>
          </w:p>
        </w:tc>
        <w:tc>
          <w:tcPr>
            <w:tcW w:w="1597" w:type="dxa"/>
            <w:gridSpan w:val="3"/>
            <w:shd w:val="clear" w:color="auto" w:fill="CCFFCC"/>
            <w:vAlign w:val="center"/>
          </w:tcPr>
          <w:p>
            <w:pPr>
              <w:rPr>
                <w:bCs/>
                <w:kern w:val="0"/>
                <w:sz w:val="24"/>
              </w:rPr>
            </w:pPr>
            <w:r>
              <w:rPr>
                <w:bCs/>
                <w:kern w:val="0"/>
                <w:sz w:val="24"/>
              </w:rPr>
              <w:t>3.1</w:t>
            </w:r>
          </w:p>
        </w:tc>
        <w:tc>
          <w:tcPr>
            <w:tcW w:w="1606" w:type="dxa"/>
            <w:gridSpan w:val="3"/>
            <w:shd w:val="clear" w:color="auto" w:fill="CCFFCC"/>
            <w:vAlign w:val="center"/>
          </w:tcPr>
          <w:p>
            <w:pPr>
              <w:rPr>
                <w:bCs/>
                <w:kern w:val="0"/>
                <w:sz w:val="24"/>
              </w:rPr>
            </w:pPr>
            <w:r>
              <w:rPr>
                <w:bCs/>
                <w:kern w:val="0"/>
                <w:sz w:val="24"/>
              </w:rPr>
              <w:t>3.2</w:t>
            </w:r>
          </w:p>
        </w:tc>
        <w:tc>
          <w:tcPr>
            <w:tcW w:w="1701" w:type="dxa"/>
            <w:gridSpan w:val="3"/>
            <w:shd w:val="clear" w:color="auto" w:fill="CCFFCC"/>
            <w:vAlign w:val="center"/>
          </w:tcPr>
          <w:p>
            <w:pPr>
              <w:rPr>
                <w:bCs/>
                <w:kern w:val="0"/>
                <w:sz w:val="24"/>
              </w:rPr>
            </w:pPr>
            <w:r>
              <w:rPr>
                <w:bCs/>
                <w:kern w:val="0"/>
                <w:sz w:val="24"/>
              </w:rPr>
              <w:t>2.9</w:t>
            </w:r>
          </w:p>
        </w:tc>
        <w:tc>
          <w:tcPr>
            <w:tcW w:w="1474" w:type="dxa"/>
            <w:gridSpan w:val="4"/>
            <w:shd w:val="clear" w:color="auto" w:fill="CCFFCC"/>
            <w:vAlign w:val="center"/>
          </w:tcPr>
          <w:p>
            <w:pPr>
              <w:rPr>
                <w:bCs/>
                <w:kern w:val="0"/>
                <w:sz w:val="24"/>
              </w:rPr>
            </w:pPr>
            <w:r>
              <w:rPr>
                <w:bCs/>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640" w:type="dxa"/>
            <w:vMerge w:val="continue"/>
            <w:vAlign w:val="center"/>
          </w:tcPr>
          <w:p>
            <w:pPr>
              <w:rPr>
                <w:bCs/>
                <w:kern w:val="0"/>
                <w:sz w:val="24"/>
              </w:rPr>
            </w:pPr>
          </w:p>
        </w:tc>
        <w:tc>
          <w:tcPr>
            <w:tcW w:w="1544" w:type="dxa"/>
            <w:vAlign w:val="bottom"/>
          </w:tcPr>
          <w:p>
            <w:pPr>
              <w:rPr>
                <w:bCs/>
                <w:kern w:val="0"/>
                <w:sz w:val="24"/>
              </w:rPr>
            </w:pPr>
            <w:r>
              <w:rPr>
                <w:bCs/>
                <w:kern w:val="0"/>
                <w:sz w:val="24"/>
              </w:rPr>
              <w:t>Unemployment Rate (%)</w:t>
            </w:r>
          </w:p>
        </w:tc>
        <w:tc>
          <w:tcPr>
            <w:tcW w:w="583" w:type="dxa"/>
            <w:vAlign w:val="center"/>
          </w:tcPr>
          <w:p>
            <w:pPr>
              <w:rPr>
                <w:bCs/>
                <w:kern w:val="0"/>
                <w:sz w:val="24"/>
              </w:rPr>
            </w:pPr>
            <w:r>
              <w:rPr>
                <w:bCs/>
                <w:kern w:val="0"/>
                <w:sz w:val="24"/>
              </w:rPr>
              <w:t>4.8</w:t>
            </w:r>
          </w:p>
        </w:tc>
        <w:tc>
          <w:tcPr>
            <w:tcW w:w="494" w:type="dxa"/>
            <w:vAlign w:val="center"/>
          </w:tcPr>
          <w:p>
            <w:pPr>
              <w:rPr>
                <w:bCs/>
                <w:kern w:val="0"/>
                <w:sz w:val="24"/>
              </w:rPr>
            </w:pPr>
            <w:r>
              <w:rPr>
                <w:bCs/>
                <w:kern w:val="0"/>
                <w:sz w:val="24"/>
              </w:rPr>
              <w:t>4.7</w:t>
            </w:r>
          </w:p>
        </w:tc>
        <w:tc>
          <w:tcPr>
            <w:tcW w:w="514" w:type="dxa"/>
            <w:vAlign w:val="center"/>
          </w:tcPr>
          <w:p>
            <w:pPr>
              <w:rPr>
                <w:bCs/>
                <w:kern w:val="0"/>
                <w:sz w:val="24"/>
              </w:rPr>
            </w:pPr>
            <w:r>
              <w:rPr>
                <w:bCs/>
                <w:kern w:val="0"/>
                <w:sz w:val="24"/>
              </w:rPr>
              <w:t>4.5</w:t>
            </w:r>
          </w:p>
        </w:tc>
        <w:tc>
          <w:tcPr>
            <w:tcW w:w="531" w:type="dxa"/>
            <w:vAlign w:val="center"/>
          </w:tcPr>
          <w:p>
            <w:pPr>
              <w:rPr>
                <w:bCs/>
                <w:kern w:val="0"/>
                <w:sz w:val="24"/>
              </w:rPr>
            </w:pPr>
            <w:r>
              <w:rPr>
                <w:bCs/>
                <w:kern w:val="0"/>
                <w:sz w:val="24"/>
              </w:rPr>
              <w:t>4.4</w:t>
            </w:r>
          </w:p>
        </w:tc>
        <w:tc>
          <w:tcPr>
            <w:tcW w:w="567" w:type="dxa"/>
            <w:vAlign w:val="center"/>
          </w:tcPr>
          <w:p>
            <w:pPr>
              <w:rPr>
                <w:bCs/>
                <w:kern w:val="0"/>
                <w:sz w:val="24"/>
              </w:rPr>
            </w:pPr>
            <w:r>
              <w:rPr>
                <w:bCs/>
                <w:kern w:val="0"/>
                <w:sz w:val="24"/>
              </w:rPr>
              <w:t>4.3</w:t>
            </w:r>
          </w:p>
        </w:tc>
        <w:tc>
          <w:tcPr>
            <w:tcW w:w="499" w:type="dxa"/>
            <w:vAlign w:val="center"/>
          </w:tcPr>
          <w:p>
            <w:pPr>
              <w:rPr>
                <w:bCs/>
                <w:kern w:val="0"/>
                <w:sz w:val="24"/>
              </w:rPr>
            </w:pPr>
            <w:r>
              <w:rPr>
                <w:bCs/>
                <w:kern w:val="0"/>
                <w:sz w:val="24"/>
              </w:rPr>
              <w:t>4.4</w:t>
            </w:r>
          </w:p>
        </w:tc>
        <w:tc>
          <w:tcPr>
            <w:tcW w:w="567" w:type="dxa"/>
            <w:vAlign w:val="center"/>
          </w:tcPr>
          <w:p>
            <w:pPr>
              <w:rPr>
                <w:bCs/>
                <w:kern w:val="0"/>
                <w:sz w:val="24"/>
              </w:rPr>
            </w:pPr>
            <w:r>
              <w:rPr>
                <w:bCs/>
                <w:kern w:val="0"/>
                <w:sz w:val="24"/>
              </w:rPr>
              <w:t>4.3</w:t>
            </w:r>
          </w:p>
        </w:tc>
        <w:tc>
          <w:tcPr>
            <w:tcW w:w="567" w:type="dxa"/>
            <w:vAlign w:val="center"/>
          </w:tcPr>
          <w:p>
            <w:pPr>
              <w:rPr>
                <w:bCs/>
                <w:kern w:val="0"/>
                <w:sz w:val="24"/>
              </w:rPr>
            </w:pPr>
            <w:r>
              <w:rPr>
                <w:bCs/>
                <w:kern w:val="0"/>
                <w:sz w:val="24"/>
              </w:rPr>
              <w:t>4.4</w:t>
            </w:r>
          </w:p>
        </w:tc>
        <w:tc>
          <w:tcPr>
            <w:tcW w:w="472" w:type="dxa"/>
            <w:vAlign w:val="center"/>
          </w:tcPr>
          <w:p>
            <w:pPr>
              <w:rPr>
                <w:bCs/>
                <w:kern w:val="0"/>
                <w:sz w:val="24"/>
              </w:rPr>
            </w:pPr>
            <w:r>
              <w:rPr>
                <w:bCs/>
                <w:kern w:val="0"/>
                <w:sz w:val="24"/>
              </w:rPr>
              <w:t>4.2</w:t>
            </w:r>
          </w:p>
        </w:tc>
        <w:tc>
          <w:tcPr>
            <w:tcW w:w="567" w:type="dxa"/>
            <w:vAlign w:val="center"/>
          </w:tcPr>
          <w:p>
            <w:pPr>
              <w:rPr>
                <w:bCs/>
                <w:kern w:val="0"/>
                <w:sz w:val="24"/>
              </w:rPr>
            </w:pPr>
            <w:bookmarkStart w:id="116" w:name="OLE_LINK10"/>
            <w:r>
              <w:rPr>
                <w:bCs/>
                <w:kern w:val="0"/>
                <w:sz w:val="24"/>
              </w:rPr>
              <w:t>4.1</w:t>
            </w:r>
          </w:p>
        </w:tc>
        <w:tc>
          <w:tcPr>
            <w:tcW w:w="567" w:type="dxa"/>
            <w:vAlign w:val="center"/>
          </w:tcPr>
          <w:p>
            <w:pPr>
              <w:rPr>
                <w:bCs/>
                <w:kern w:val="0"/>
                <w:sz w:val="24"/>
              </w:rPr>
            </w:pPr>
            <w:r>
              <w:rPr>
                <w:bCs/>
                <w:kern w:val="0"/>
                <w:sz w:val="24"/>
              </w:rPr>
              <w:t>4.1</w:t>
            </w:r>
          </w:p>
        </w:tc>
        <w:tc>
          <w:tcPr>
            <w:tcW w:w="567" w:type="dxa"/>
            <w:vAlign w:val="center"/>
          </w:tcPr>
          <w:p>
            <w:pPr>
              <w:rPr>
                <w:bCs/>
                <w:kern w:val="0"/>
                <w:sz w:val="24"/>
              </w:rPr>
            </w:pPr>
            <w:r>
              <w:rPr>
                <w:bCs/>
                <w:kern w:val="0"/>
                <w:sz w:val="24"/>
              </w:rPr>
              <w:t>4.1</w:t>
            </w:r>
          </w:p>
          <w:bookmarkEnd w:id="116"/>
        </w:tc>
        <w:tc>
          <w:tcPr>
            <w:tcW w:w="516" w:type="dxa"/>
            <w:gridSpan w:val="2"/>
            <w:vAlign w:val="center"/>
          </w:tcPr>
          <w:p>
            <w:pPr>
              <w:rPr>
                <w:bCs/>
                <w:kern w:val="0"/>
                <w:sz w:val="24"/>
              </w:rPr>
            </w:pPr>
            <w:bookmarkStart w:id="117" w:name="OLE_LINK11"/>
            <w:r>
              <w:rPr>
                <w:bCs/>
                <w:kern w:val="0"/>
                <w:sz w:val="24"/>
              </w:rPr>
              <w:t>4.1</w:t>
            </w:r>
          </w:p>
        </w:tc>
        <w:tc>
          <w:tcPr>
            <w:tcW w:w="464" w:type="dxa"/>
            <w:vAlign w:val="center"/>
          </w:tcPr>
          <w:p>
            <w:pPr>
              <w:rPr>
                <w:bCs/>
                <w:kern w:val="0"/>
                <w:sz w:val="24"/>
              </w:rPr>
            </w:pPr>
            <w:r>
              <w:rPr>
                <w:bCs/>
                <w:kern w:val="0"/>
                <w:sz w:val="24"/>
              </w:rPr>
              <w:t>4.1</w:t>
            </w:r>
          </w:p>
        </w:tc>
        <w:tc>
          <w:tcPr>
            <w:tcW w:w="494" w:type="dxa"/>
            <w:vAlign w:val="center"/>
          </w:tcPr>
          <w:p>
            <w:pPr>
              <w:rPr>
                <w:bCs/>
                <w:kern w:val="0"/>
                <w:sz w:val="24"/>
              </w:rPr>
            </w:pPr>
            <w:r>
              <w:rPr>
                <w:bCs/>
                <w:kern w:val="0"/>
                <w:sz w:val="24"/>
              </w:rPr>
              <w:t>4.1</w:t>
            </w:r>
          </w:p>
          <w:bookmarkEnd w:id="11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6" w:hRule="atLeast"/>
          <w:jc w:val="center"/>
        </w:trPr>
        <w:tc>
          <w:tcPr>
            <w:tcW w:w="640" w:type="dxa"/>
            <w:vMerge w:val="continue"/>
            <w:shd w:val="clear" w:color="auto" w:fill="auto"/>
            <w:vAlign w:val="center"/>
          </w:tcPr>
          <w:p>
            <w:pPr>
              <w:rPr>
                <w:bCs/>
                <w:kern w:val="0"/>
                <w:sz w:val="24"/>
              </w:rPr>
            </w:pPr>
          </w:p>
        </w:tc>
        <w:tc>
          <w:tcPr>
            <w:tcW w:w="1544" w:type="dxa"/>
            <w:shd w:val="clear" w:color="auto" w:fill="CCFFCC"/>
            <w:vAlign w:val="bottom"/>
          </w:tcPr>
          <w:p>
            <w:pPr>
              <w:rPr>
                <w:bCs/>
                <w:kern w:val="0"/>
                <w:sz w:val="24"/>
              </w:rPr>
            </w:pPr>
            <w:r>
              <w:rPr>
                <w:bCs/>
                <w:kern w:val="0"/>
                <w:sz w:val="24"/>
              </w:rPr>
              <w:t>CPI (year-on-year, %)</w:t>
            </w:r>
          </w:p>
        </w:tc>
        <w:tc>
          <w:tcPr>
            <w:tcW w:w="583" w:type="dxa"/>
            <w:shd w:val="clear" w:color="auto" w:fill="CCFFCC"/>
            <w:vAlign w:val="center"/>
          </w:tcPr>
          <w:p>
            <w:pPr>
              <w:rPr>
                <w:bCs/>
                <w:kern w:val="0"/>
                <w:sz w:val="24"/>
              </w:rPr>
            </w:pPr>
            <w:r>
              <w:rPr>
                <w:bCs/>
                <w:kern w:val="0"/>
                <w:sz w:val="24"/>
              </w:rPr>
              <w:t>2.5</w:t>
            </w:r>
          </w:p>
        </w:tc>
        <w:tc>
          <w:tcPr>
            <w:tcW w:w="494" w:type="dxa"/>
            <w:shd w:val="clear" w:color="auto" w:fill="CCFFCC"/>
            <w:vAlign w:val="center"/>
          </w:tcPr>
          <w:p>
            <w:pPr>
              <w:rPr>
                <w:bCs/>
                <w:kern w:val="0"/>
                <w:sz w:val="24"/>
              </w:rPr>
            </w:pPr>
            <w:r>
              <w:rPr>
                <w:bCs/>
                <w:kern w:val="0"/>
                <w:sz w:val="24"/>
              </w:rPr>
              <w:t>2.7</w:t>
            </w:r>
          </w:p>
        </w:tc>
        <w:tc>
          <w:tcPr>
            <w:tcW w:w="514" w:type="dxa"/>
            <w:shd w:val="clear" w:color="auto" w:fill="CCFFCC"/>
            <w:vAlign w:val="center"/>
          </w:tcPr>
          <w:p>
            <w:pPr>
              <w:rPr>
                <w:bCs/>
                <w:kern w:val="0"/>
                <w:sz w:val="24"/>
              </w:rPr>
            </w:pPr>
            <w:r>
              <w:rPr>
                <w:bCs/>
                <w:kern w:val="0"/>
                <w:sz w:val="24"/>
              </w:rPr>
              <w:t>2.4</w:t>
            </w:r>
          </w:p>
        </w:tc>
        <w:tc>
          <w:tcPr>
            <w:tcW w:w="531" w:type="dxa"/>
            <w:shd w:val="clear" w:color="auto" w:fill="CCFFCC"/>
            <w:vAlign w:val="center"/>
          </w:tcPr>
          <w:p>
            <w:pPr>
              <w:rPr>
                <w:bCs/>
                <w:kern w:val="0"/>
                <w:sz w:val="24"/>
              </w:rPr>
            </w:pPr>
            <w:r>
              <w:rPr>
                <w:bCs/>
                <w:kern w:val="0"/>
                <w:sz w:val="24"/>
              </w:rPr>
              <w:t>2.2</w:t>
            </w:r>
          </w:p>
        </w:tc>
        <w:tc>
          <w:tcPr>
            <w:tcW w:w="567" w:type="dxa"/>
            <w:shd w:val="clear" w:color="auto" w:fill="CCFFCC"/>
            <w:vAlign w:val="center"/>
          </w:tcPr>
          <w:p>
            <w:pPr>
              <w:rPr>
                <w:bCs/>
                <w:kern w:val="0"/>
                <w:sz w:val="24"/>
              </w:rPr>
            </w:pPr>
            <w:r>
              <w:rPr>
                <w:bCs/>
                <w:kern w:val="0"/>
                <w:sz w:val="24"/>
              </w:rPr>
              <w:t>1.9</w:t>
            </w:r>
          </w:p>
        </w:tc>
        <w:tc>
          <w:tcPr>
            <w:tcW w:w="499" w:type="dxa"/>
            <w:shd w:val="clear" w:color="auto" w:fill="CCFFCC"/>
            <w:vAlign w:val="center"/>
          </w:tcPr>
          <w:p>
            <w:pPr>
              <w:rPr>
                <w:bCs/>
                <w:kern w:val="0"/>
                <w:sz w:val="24"/>
              </w:rPr>
            </w:pPr>
            <w:r>
              <w:rPr>
                <w:bCs/>
                <w:kern w:val="0"/>
                <w:sz w:val="24"/>
              </w:rPr>
              <w:t>1.6</w:t>
            </w:r>
          </w:p>
        </w:tc>
        <w:tc>
          <w:tcPr>
            <w:tcW w:w="567" w:type="dxa"/>
            <w:shd w:val="clear" w:color="auto" w:fill="CCFFCC"/>
            <w:vAlign w:val="center"/>
          </w:tcPr>
          <w:p>
            <w:pPr>
              <w:rPr>
                <w:bCs/>
                <w:kern w:val="0"/>
                <w:sz w:val="24"/>
              </w:rPr>
            </w:pPr>
            <w:r>
              <w:rPr>
                <w:bCs/>
                <w:kern w:val="0"/>
                <w:sz w:val="24"/>
              </w:rPr>
              <w:t>1.7</w:t>
            </w:r>
          </w:p>
        </w:tc>
        <w:tc>
          <w:tcPr>
            <w:tcW w:w="567" w:type="dxa"/>
            <w:shd w:val="clear" w:color="auto" w:fill="CCFFCC"/>
            <w:vAlign w:val="center"/>
          </w:tcPr>
          <w:p>
            <w:pPr>
              <w:rPr>
                <w:bCs/>
                <w:kern w:val="0"/>
                <w:sz w:val="24"/>
              </w:rPr>
            </w:pPr>
            <w:r>
              <w:rPr>
                <w:bCs/>
                <w:kern w:val="0"/>
                <w:sz w:val="24"/>
              </w:rPr>
              <w:t>1.9</w:t>
            </w:r>
          </w:p>
        </w:tc>
        <w:tc>
          <w:tcPr>
            <w:tcW w:w="472" w:type="dxa"/>
            <w:shd w:val="clear" w:color="auto" w:fill="CCFFCC"/>
            <w:vAlign w:val="center"/>
          </w:tcPr>
          <w:p>
            <w:pPr>
              <w:rPr>
                <w:bCs/>
                <w:kern w:val="0"/>
                <w:sz w:val="24"/>
              </w:rPr>
            </w:pPr>
            <w:r>
              <w:rPr>
                <w:bCs/>
                <w:kern w:val="0"/>
                <w:sz w:val="24"/>
              </w:rPr>
              <w:t>2.2</w:t>
            </w:r>
          </w:p>
        </w:tc>
        <w:tc>
          <w:tcPr>
            <w:tcW w:w="567" w:type="dxa"/>
            <w:shd w:val="clear" w:color="auto" w:fill="CCFFCC"/>
            <w:vAlign w:val="center"/>
          </w:tcPr>
          <w:p>
            <w:pPr>
              <w:rPr>
                <w:bCs/>
                <w:kern w:val="0"/>
                <w:sz w:val="24"/>
              </w:rPr>
            </w:pPr>
            <w:r>
              <w:rPr>
                <w:bCs/>
                <w:kern w:val="0"/>
                <w:sz w:val="24"/>
              </w:rPr>
              <w:t>2.0</w:t>
            </w:r>
          </w:p>
        </w:tc>
        <w:tc>
          <w:tcPr>
            <w:tcW w:w="567" w:type="dxa"/>
            <w:shd w:val="clear" w:color="auto" w:fill="CCFFCC"/>
            <w:vAlign w:val="center"/>
          </w:tcPr>
          <w:p>
            <w:pPr>
              <w:rPr>
                <w:bCs/>
                <w:kern w:val="0"/>
                <w:sz w:val="24"/>
              </w:rPr>
            </w:pPr>
            <w:r>
              <w:rPr>
                <w:bCs/>
                <w:kern w:val="0"/>
                <w:sz w:val="24"/>
              </w:rPr>
              <w:t>2.2</w:t>
            </w:r>
          </w:p>
        </w:tc>
        <w:tc>
          <w:tcPr>
            <w:tcW w:w="567" w:type="dxa"/>
            <w:shd w:val="clear" w:color="auto" w:fill="CCFFCC"/>
            <w:vAlign w:val="center"/>
          </w:tcPr>
          <w:p>
            <w:pPr>
              <w:rPr>
                <w:bCs/>
                <w:kern w:val="0"/>
                <w:sz w:val="24"/>
              </w:rPr>
            </w:pPr>
            <w:r>
              <w:rPr>
                <w:bCs/>
                <w:kern w:val="0"/>
                <w:sz w:val="24"/>
              </w:rPr>
              <w:t>2.1</w:t>
            </w:r>
          </w:p>
        </w:tc>
        <w:tc>
          <w:tcPr>
            <w:tcW w:w="516" w:type="dxa"/>
            <w:gridSpan w:val="2"/>
            <w:shd w:val="clear" w:color="auto" w:fill="CCFFCC"/>
            <w:vAlign w:val="center"/>
          </w:tcPr>
          <w:p>
            <w:pPr>
              <w:rPr>
                <w:bCs/>
                <w:kern w:val="0"/>
                <w:sz w:val="24"/>
              </w:rPr>
            </w:pPr>
            <w:r>
              <w:rPr>
                <w:bCs/>
                <w:kern w:val="0"/>
                <w:sz w:val="24"/>
              </w:rPr>
              <w:t>2.1</w:t>
            </w:r>
          </w:p>
        </w:tc>
        <w:tc>
          <w:tcPr>
            <w:tcW w:w="464" w:type="dxa"/>
            <w:shd w:val="clear" w:color="auto" w:fill="CCFFCC"/>
            <w:vAlign w:val="center"/>
          </w:tcPr>
          <w:p>
            <w:pPr>
              <w:rPr>
                <w:bCs/>
                <w:kern w:val="0"/>
                <w:sz w:val="24"/>
              </w:rPr>
            </w:pPr>
            <w:r>
              <w:rPr>
                <w:bCs/>
                <w:kern w:val="0"/>
                <w:sz w:val="24"/>
              </w:rPr>
              <w:t>2.2</w:t>
            </w:r>
          </w:p>
        </w:tc>
        <w:tc>
          <w:tcPr>
            <w:tcW w:w="494" w:type="dxa"/>
            <w:shd w:val="clear" w:color="auto" w:fill="CCFFCC"/>
            <w:vAlign w:val="center"/>
          </w:tcPr>
          <w:p>
            <w:pPr>
              <w:rPr>
                <w:bCs/>
                <w:kern w:val="0"/>
                <w:sz w:val="24"/>
              </w:rPr>
            </w:pPr>
            <w:r>
              <w:rPr>
                <w:bCs/>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83" w:hRule="atLeast"/>
          <w:jc w:val="center"/>
        </w:trPr>
        <w:tc>
          <w:tcPr>
            <w:tcW w:w="640" w:type="dxa"/>
            <w:vMerge w:val="continue"/>
            <w:vAlign w:val="center"/>
          </w:tcPr>
          <w:p>
            <w:pPr>
              <w:rPr>
                <w:bCs/>
                <w:kern w:val="0"/>
                <w:sz w:val="24"/>
              </w:rPr>
            </w:pPr>
          </w:p>
        </w:tc>
        <w:tc>
          <w:tcPr>
            <w:tcW w:w="1544" w:type="dxa"/>
            <w:vAlign w:val="bottom"/>
          </w:tcPr>
          <w:p>
            <w:pPr>
              <w:rPr>
                <w:bCs/>
                <w:kern w:val="0"/>
                <w:sz w:val="24"/>
              </w:rPr>
            </w:pPr>
            <w:r>
              <w:rPr>
                <w:bCs/>
                <w:kern w:val="0"/>
                <w:sz w:val="24"/>
              </w:rPr>
              <w:t>DJ Industrial Average (end of the period)</w:t>
            </w:r>
          </w:p>
        </w:tc>
        <w:tc>
          <w:tcPr>
            <w:tcW w:w="583" w:type="dxa"/>
            <w:vAlign w:val="center"/>
          </w:tcPr>
          <w:p>
            <w:pPr>
              <w:rPr>
                <w:bCs/>
                <w:kern w:val="0"/>
                <w:sz w:val="24"/>
              </w:rPr>
            </w:pPr>
            <w:bookmarkStart w:id="118" w:name="OLE_LINK16"/>
            <w:r>
              <w:rPr>
                <w:bCs/>
                <w:kern w:val="0"/>
                <w:sz w:val="24"/>
              </w:rPr>
              <w:t>19864</w:t>
            </w:r>
          </w:p>
        </w:tc>
        <w:tc>
          <w:tcPr>
            <w:tcW w:w="494" w:type="dxa"/>
            <w:vAlign w:val="center"/>
          </w:tcPr>
          <w:p>
            <w:pPr>
              <w:rPr>
                <w:bCs/>
                <w:kern w:val="0"/>
                <w:sz w:val="24"/>
              </w:rPr>
            </w:pPr>
            <w:r>
              <w:rPr>
                <w:bCs/>
                <w:kern w:val="0"/>
                <w:sz w:val="24"/>
              </w:rPr>
              <w:t>20812</w:t>
            </w:r>
          </w:p>
        </w:tc>
        <w:tc>
          <w:tcPr>
            <w:tcW w:w="514" w:type="dxa"/>
            <w:vAlign w:val="center"/>
          </w:tcPr>
          <w:p>
            <w:pPr>
              <w:rPr>
                <w:bCs/>
                <w:kern w:val="0"/>
                <w:sz w:val="24"/>
              </w:rPr>
            </w:pPr>
            <w:r>
              <w:rPr>
                <w:bCs/>
                <w:kern w:val="0"/>
                <w:sz w:val="24"/>
              </w:rPr>
              <w:t>20663</w:t>
            </w:r>
          </w:p>
          <w:bookmarkEnd w:id="118"/>
        </w:tc>
        <w:tc>
          <w:tcPr>
            <w:tcW w:w="531" w:type="dxa"/>
            <w:vAlign w:val="center"/>
          </w:tcPr>
          <w:p>
            <w:pPr>
              <w:rPr>
                <w:bCs/>
                <w:kern w:val="0"/>
                <w:sz w:val="24"/>
              </w:rPr>
            </w:pPr>
            <w:r>
              <w:rPr>
                <w:bCs/>
                <w:kern w:val="0"/>
                <w:sz w:val="24"/>
              </w:rPr>
              <w:t>20941</w:t>
            </w:r>
          </w:p>
        </w:tc>
        <w:tc>
          <w:tcPr>
            <w:tcW w:w="567" w:type="dxa"/>
            <w:vAlign w:val="center"/>
          </w:tcPr>
          <w:p>
            <w:pPr>
              <w:rPr>
                <w:bCs/>
                <w:kern w:val="0"/>
                <w:sz w:val="24"/>
              </w:rPr>
            </w:pPr>
            <w:r>
              <w:rPr>
                <w:bCs/>
                <w:kern w:val="0"/>
                <w:sz w:val="24"/>
              </w:rPr>
              <w:t>21009</w:t>
            </w:r>
          </w:p>
        </w:tc>
        <w:tc>
          <w:tcPr>
            <w:tcW w:w="499" w:type="dxa"/>
            <w:vAlign w:val="center"/>
          </w:tcPr>
          <w:p>
            <w:pPr>
              <w:rPr>
                <w:bCs/>
                <w:kern w:val="0"/>
                <w:sz w:val="24"/>
              </w:rPr>
            </w:pPr>
            <w:r>
              <w:rPr>
                <w:bCs/>
                <w:kern w:val="0"/>
                <w:sz w:val="24"/>
              </w:rPr>
              <w:t>21350</w:t>
            </w:r>
          </w:p>
        </w:tc>
        <w:tc>
          <w:tcPr>
            <w:tcW w:w="567" w:type="dxa"/>
            <w:vAlign w:val="center"/>
          </w:tcPr>
          <w:p>
            <w:pPr>
              <w:rPr>
                <w:bCs/>
                <w:kern w:val="0"/>
                <w:sz w:val="24"/>
              </w:rPr>
            </w:pPr>
            <w:r>
              <w:rPr>
                <w:bCs/>
                <w:kern w:val="0"/>
                <w:sz w:val="24"/>
              </w:rPr>
              <w:t>21891</w:t>
            </w:r>
          </w:p>
        </w:tc>
        <w:tc>
          <w:tcPr>
            <w:tcW w:w="567" w:type="dxa"/>
            <w:vAlign w:val="center"/>
          </w:tcPr>
          <w:p>
            <w:pPr>
              <w:rPr>
                <w:bCs/>
                <w:kern w:val="0"/>
                <w:sz w:val="24"/>
              </w:rPr>
            </w:pPr>
            <w:r>
              <w:rPr>
                <w:bCs/>
                <w:kern w:val="0"/>
                <w:sz w:val="24"/>
              </w:rPr>
              <w:t>21948</w:t>
            </w:r>
          </w:p>
        </w:tc>
        <w:tc>
          <w:tcPr>
            <w:tcW w:w="472" w:type="dxa"/>
            <w:vAlign w:val="center"/>
          </w:tcPr>
          <w:p>
            <w:pPr>
              <w:rPr>
                <w:bCs/>
                <w:kern w:val="0"/>
                <w:sz w:val="24"/>
              </w:rPr>
            </w:pPr>
            <w:r>
              <w:rPr>
                <w:bCs/>
                <w:kern w:val="0"/>
                <w:sz w:val="24"/>
              </w:rPr>
              <w:t>22405</w:t>
            </w:r>
          </w:p>
        </w:tc>
        <w:tc>
          <w:tcPr>
            <w:tcW w:w="567" w:type="dxa"/>
            <w:vAlign w:val="center"/>
          </w:tcPr>
          <w:p>
            <w:pPr>
              <w:rPr>
                <w:bCs/>
                <w:kern w:val="0"/>
                <w:sz w:val="24"/>
              </w:rPr>
            </w:pPr>
            <w:r>
              <w:rPr>
                <w:bCs/>
                <w:kern w:val="0"/>
                <w:sz w:val="24"/>
              </w:rPr>
              <w:t>23377</w:t>
            </w:r>
          </w:p>
        </w:tc>
        <w:tc>
          <w:tcPr>
            <w:tcW w:w="567" w:type="dxa"/>
            <w:vAlign w:val="center"/>
          </w:tcPr>
          <w:p>
            <w:pPr>
              <w:rPr>
                <w:bCs/>
                <w:kern w:val="0"/>
                <w:sz w:val="24"/>
              </w:rPr>
            </w:pPr>
            <w:r>
              <w:rPr>
                <w:bCs/>
                <w:kern w:val="0"/>
                <w:sz w:val="24"/>
              </w:rPr>
              <w:t>24272</w:t>
            </w:r>
          </w:p>
        </w:tc>
        <w:tc>
          <w:tcPr>
            <w:tcW w:w="567" w:type="dxa"/>
            <w:vAlign w:val="center"/>
          </w:tcPr>
          <w:p>
            <w:pPr>
              <w:rPr>
                <w:bCs/>
                <w:kern w:val="0"/>
                <w:sz w:val="24"/>
              </w:rPr>
            </w:pPr>
            <w:r>
              <w:rPr>
                <w:bCs/>
                <w:kern w:val="0"/>
                <w:sz w:val="24"/>
              </w:rPr>
              <w:t>24719</w:t>
            </w:r>
          </w:p>
        </w:tc>
        <w:tc>
          <w:tcPr>
            <w:tcW w:w="516" w:type="dxa"/>
            <w:gridSpan w:val="2"/>
            <w:vAlign w:val="center"/>
          </w:tcPr>
          <w:p>
            <w:pPr>
              <w:rPr>
                <w:bCs/>
                <w:kern w:val="0"/>
                <w:sz w:val="24"/>
              </w:rPr>
            </w:pPr>
            <w:r>
              <w:rPr>
                <w:bCs/>
                <w:kern w:val="0"/>
                <w:sz w:val="24"/>
              </w:rPr>
              <w:t>26149</w:t>
            </w:r>
          </w:p>
        </w:tc>
        <w:tc>
          <w:tcPr>
            <w:tcW w:w="464" w:type="dxa"/>
            <w:vAlign w:val="center"/>
          </w:tcPr>
          <w:p>
            <w:pPr>
              <w:rPr>
                <w:bCs/>
                <w:kern w:val="0"/>
                <w:sz w:val="24"/>
              </w:rPr>
            </w:pPr>
            <w:r>
              <w:rPr>
                <w:bCs/>
                <w:kern w:val="0"/>
                <w:sz w:val="24"/>
              </w:rPr>
              <w:t>25029</w:t>
            </w:r>
          </w:p>
        </w:tc>
        <w:tc>
          <w:tcPr>
            <w:tcW w:w="494" w:type="dxa"/>
            <w:vAlign w:val="center"/>
          </w:tcPr>
          <w:p>
            <w:pPr>
              <w:rPr>
                <w:bCs/>
                <w:kern w:val="0"/>
                <w:sz w:val="24"/>
              </w:rPr>
            </w:pPr>
            <w:r>
              <w:rPr>
                <w:bCs/>
                <w:kern w:val="0"/>
                <w:sz w:val="24"/>
              </w:rPr>
              <w:t>24103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restart"/>
            <w:textDirection w:val="tbRlV"/>
            <w:vAlign w:val="center"/>
          </w:tcPr>
          <w:p>
            <w:pPr>
              <w:rPr>
                <w:bCs/>
                <w:kern w:val="0"/>
                <w:sz w:val="24"/>
              </w:rPr>
            </w:pPr>
            <w:r>
              <w:rPr>
                <w:bCs/>
                <w:kern w:val="0"/>
                <w:sz w:val="24"/>
              </w:rPr>
              <w:t>Euro Area</w:t>
            </w:r>
          </w:p>
        </w:tc>
        <w:tc>
          <w:tcPr>
            <w:tcW w:w="1544" w:type="dxa"/>
            <w:vAlign w:val="bottom"/>
          </w:tcPr>
          <w:p>
            <w:pPr>
              <w:rPr>
                <w:bCs/>
                <w:kern w:val="0"/>
                <w:sz w:val="24"/>
              </w:rPr>
            </w:pPr>
            <w:r>
              <w:rPr>
                <w:bCs/>
                <w:kern w:val="0"/>
                <w:sz w:val="24"/>
              </w:rPr>
              <w:t>Real GDP Growth (annualized quarterly rate, %)</w:t>
            </w:r>
          </w:p>
        </w:tc>
        <w:tc>
          <w:tcPr>
            <w:tcW w:w="1591" w:type="dxa"/>
            <w:gridSpan w:val="3"/>
            <w:vAlign w:val="center"/>
          </w:tcPr>
          <w:p>
            <w:pPr>
              <w:rPr>
                <w:bCs/>
                <w:kern w:val="0"/>
                <w:sz w:val="24"/>
              </w:rPr>
            </w:pPr>
            <w:bookmarkStart w:id="119" w:name="OLE_LINK20"/>
            <w:r>
              <w:rPr>
                <w:bCs/>
                <w:kern w:val="0"/>
                <w:sz w:val="24"/>
              </w:rPr>
              <w:t>2.1</w:t>
            </w:r>
          </w:p>
        </w:tc>
        <w:tc>
          <w:tcPr>
            <w:tcW w:w="1597" w:type="dxa"/>
            <w:gridSpan w:val="3"/>
            <w:vAlign w:val="center"/>
          </w:tcPr>
          <w:p>
            <w:pPr>
              <w:rPr>
                <w:bCs/>
                <w:kern w:val="0"/>
                <w:sz w:val="24"/>
              </w:rPr>
            </w:pPr>
            <w:r>
              <w:rPr>
                <w:bCs/>
                <w:kern w:val="0"/>
                <w:sz w:val="24"/>
              </w:rPr>
              <w:t>2.4</w:t>
            </w:r>
          </w:p>
        </w:tc>
        <w:tc>
          <w:tcPr>
            <w:tcW w:w="1606" w:type="dxa"/>
            <w:gridSpan w:val="3"/>
            <w:vAlign w:val="center"/>
          </w:tcPr>
          <w:p>
            <w:pPr>
              <w:rPr>
                <w:bCs/>
                <w:kern w:val="0"/>
                <w:sz w:val="24"/>
              </w:rPr>
            </w:pPr>
            <w:r>
              <w:rPr>
                <w:bCs/>
                <w:kern w:val="0"/>
                <w:sz w:val="24"/>
              </w:rPr>
              <w:t>2.6</w:t>
            </w:r>
          </w:p>
          <w:bookmarkEnd w:id="119"/>
        </w:tc>
        <w:tc>
          <w:tcPr>
            <w:tcW w:w="1701" w:type="dxa"/>
            <w:gridSpan w:val="3"/>
            <w:vAlign w:val="center"/>
          </w:tcPr>
          <w:p>
            <w:pPr>
              <w:rPr>
                <w:bCs/>
                <w:kern w:val="0"/>
                <w:sz w:val="24"/>
              </w:rPr>
            </w:pPr>
            <w:r>
              <w:rPr>
                <w:bCs/>
                <w:kern w:val="0"/>
                <w:sz w:val="24"/>
              </w:rPr>
              <w:t>2.7</w:t>
            </w:r>
          </w:p>
        </w:tc>
        <w:tc>
          <w:tcPr>
            <w:tcW w:w="1474" w:type="dxa"/>
            <w:gridSpan w:val="4"/>
            <w:vAlign w:val="center"/>
          </w:tcPr>
          <w:p>
            <w:pPr>
              <w:rPr>
                <w:bCs/>
                <w:kern w:val="0"/>
                <w:sz w:val="24"/>
              </w:rPr>
            </w:pPr>
            <w:r>
              <w:rPr>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continue"/>
            <w:shd w:val="clear" w:color="auto" w:fill="auto"/>
            <w:vAlign w:val="center"/>
          </w:tcPr>
          <w:p>
            <w:pPr>
              <w:rPr>
                <w:bCs/>
                <w:kern w:val="0"/>
                <w:sz w:val="24"/>
              </w:rPr>
            </w:pPr>
          </w:p>
        </w:tc>
        <w:tc>
          <w:tcPr>
            <w:tcW w:w="1544" w:type="dxa"/>
            <w:shd w:val="clear" w:color="auto" w:fill="CCFFCC"/>
            <w:vAlign w:val="bottom"/>
          </w:tcPr>
          <w:p>
            <w:pPr>
              <w:rPr>
                <w:bCs/>
                <w:kern w:val="0"/>
                <w:sz w:val="24"/>
              </w:rPr>
            </w:pPr>
            <w:r>
              <w:rPr>
                <w:bCs/>
                <w:kern w:val="0"/>
                <w:sz w:val="24"/>
              </w:rPr>
              <w:t>Unemployment Rate (%)</w:t>
            </w:r>
          </w:p>
        </w:tc>
        <w:tc>
          <w:tcPr>
            <w:tcW w:w="583" w:type="dxa"/>
            <w:shd w:val="clear" w:color="auto" w:fill="CCFFCC"/>
            <w:vAlign w:val="center"/>
          </w:tcPr>
          <w:p>
            <w:pPr>
              <w:rPr>
                <w:bCs/>
                <w:kern w:val="0"/>
                <w:sz w:val="24"/>
              </w:rPr>
            </w:pPr>
            <w:bookmarkStart w:id="120" w:name="OLE_LINK21"/>
            <w:r>
              <w:rPr>
                <w:bCs/>
                <w:kern w:val="0"/>
                <w:sz w:val="24"/>
              </w:rPr>
              <w:t>9.6</w:t>
            </w:r>
          </w:p>
        </w:tc>
        <w:tc>
          <w:tcPr>
            <w:tcW w:w="494" w:type="dxa"/>
            <w:shd w:val="clear" w:color="auto" w:fill="CCFFCC"/>
            <w:vAlign w:val="center"/>
          </w:tcPr>
          <w:p>
            <w:pPr>
              <w:rPr>
                <w:bCs/>
                <w:kern w:val="0"/>
                <w:sz w:val="24"/>
              </w:rPr>
            </w:pPr>
            <w:r>
              <w:rPr>
                <w:bCs/>
                <w:kern w:val="0"/>
                <w:sz w:val="24"/>
              </w:rPr>
              <w:t>9.5</w:t>
            </w:r>
          </w:p>
        </w:tc>
        <w:tc>
          <w:tcPr>
            <w:tcW w:w="514" w:type="dxa"/>
            <w:shd w:val="clear" w:color="auto" w:fill="CCFFCC"/>
            <w:vAlign w:val="center"/>
          </w:tcPr>
          <w:p>
            <w:pPr>
              <w:rPr>
                <w:bCs/>
                <w:kern w:val="0"/>
                <w:sz w:val="24"/>
              </w:rPr>
            </w:pPr>
            <w:r>
              <w:rPr>
                <w:bCs/>
                <w:kern w:val="0"/>
                <w:sz w:val="24"/>
              </w:rPr>
              <w:t>9.4</w:t>
            </w:r>
          </w:p>
          <w:bookmarkEnd w:id="120"/>
        </w:tc>
        <w:tc>
          <w:tcPr>
            <w:tcW w:w="531" w:type="dxa"/>
            <w:shd w:val="clear" w:color="auto" w:fill="CCFFCC"/>
            <w:vAlign w:val="center"/>
          </w:tcPr>
          <w:p>
            <w:pPr>
              <w:rPr>
                <w:bCs/>
                <w:kern w:val="0"/>
                <w:sz w:val="24"/>
              </w:rPr>
            </w:pPr>
            <w:r>
              <w:rPr>
                <w:bCs/>
                <w:kern w:val="0"/>
                <w:sz w:val="24"/>
              </w:rPr>
              <w:t>9.2</w:t>
            </w:r>
          </w:p>
        </w:tc>
        <w:tc>
          <w:tcPr>
            <w:tcW w:w="567" w:type="dxa"/>
            <w:shd w:val="clear" w:color="auto" w:fill="CCFFCC"/>
            <w:vAlign w:val="center"/>
          </w:tcPr>
          <w:p>
            <w:pPr>
              <w:rPr>
                <w:bCs/>
                <w:kern w:val="0"/>
                <w:sz w:val="24"/>
              </w:rPr>
            </w:pPr>
            <w:r>
              <w:rPr>
                <w:bCs/>
                <w:kern w:val="0"/>
                <w:sz w:val="24"/>
              </w:rPr>
              <w:t>9.2</w:t>
            </w:r>
          </w:p>
        </w:tc>
        <w:tc>
          <w:tcPr>
            <w:tcW w:w="499" w:type="dxa"/>
            <w:shd w:val="clear" w:color="auto" w:fill="CCFFCC"/>
            <w:vAlign w:val="center"/>
          </w:tcPr>
          <w:p>
            <w:pPr>
              <w:rPr>
                <w:bCs/>
                <w:kern w:val="0"/>
                <w:sz w:val="24"/>
              </w:rPr>
            </w:pPr>
            <w:r>
              <w:rPr>
                <w:bCs/>
                <w:kern w:val="0"/>
                <w:sz w:val="24"/>
              </w:rPr>
              <w:t>9.1</w:t>
            </w:r>
          </w:p>
        </w:tc>
        <w:tc>
          <w:tcPr>
            <w:tcW w:w="567" w:type="dxa"/>
            <w:shd w:val="clear" w:color="auto" w:fill="CCFFCC"/>
            <w:vAlign w:val="center"/>
          </w:tcPr>
          <w:p>
            <w:pPr>
              <w:rPr>
                <w:bCs/>
                <w:kern w:val="0"/>
                <w:sz w:val="24"/>
              </w:rPr>
            </w:pPr>
            <w:bookmarkStart w:id="121" w:name="OLE_LINK23"/>
            <w:r>
              <w:rPr>
                <w:bCs/>
                <w:kern w:val="0"/>
                <w:sz w:val="24"/>
              </w:rPr>
              <w:t>9.0</w:t>
            </w:r>
          </w:p>
        </w:tc>
        <w:tc>
          <w:tcPr>
            <w:tcW w:w="567" w:type="dxa"/>
            <w:shd w:val="clear" w:color="auto" w:fill="CCFFCC"/>
            <w:vAlign w:val="center"/>
          </w:tcPr>
          <w:p>
            <w:pPr>
              <w:rPr>
                <w:bCs/>
                <w:kern w:val="0"/>
                <w:sz w:val="24"/>
              </w:rPr>
            </w:pPr>
            <w:r>
              <w:rPr>
                <w:bCs/>
                <w:kern w:val="0"/>
                <w:sz w:val="24"/>
              </w:rPr>
              <w:t>9.0</w:t>
            </w:r>
          </w:p>
        </w:tc>
        <w:tc>
          <w:tcPr>
            <w:tcW w:w="472" w:type="dxa"/>
            <w:shd w:val="clear" w:color="auto" w:fill="CCFFCC"/>
            <w:vAlign w:val="center"/>
          </w:tcPr>
          <w:p>
            <w:pPr>
              <w:rPr>
                <w:bCs/>
                <w:kern w:val="0"/>
                <w:sz w:val="24"/>
              </w:rPr>
            </w:pPr>
            <w:r>
              <w:rPr>
                <w:bCs/>
                <w:kern w:val="0"/>
                <w:sz w:val="24"/>
              </w:rPr>
              <w:t>8.9</w:t>
            </w:r>
          </w:p>
          <w:bookmarkEnd w:id="121"/>
        </w:tc>
        <w:tc>
          <w:tcPr>
            <w:tcW w:w="567" w:type="dxa"/>
            <w:shd w:val="clear" w:color="auto" w:fill="CCFFCC"/>
            <w:vAlign w:val="center"/>
          </w:tcPr>
          <w:p>
            <w:pPr>
              <w:rPr>
                <w:bCs/>
                <w:kern w:val="0"/>
                <w:sz w:val="24"/>
              </w:rPr>
            </w:pPr>
            <w:r>
              <w:rPr>
                <w:bCs/>
                <w:kern w:val="0"/>
                <w:sz w:val="24"/>
              </w:rPr>
              <w:t>8.8</w:t>
            </w:r>
          </w:p>
        </w:tc>
        <w:tc>
          <w:tcPr>
            <w:tcW w:w="567" w:type="dxa"/>
            <w:shd w:val="clear" w:color="auto" w:fill="CCFFCC"/>
            <w:vAlign w:val="center"/>
          </w:tcPr>
          <w:p>
            <w:pPr>
              <w:rPr>
                <w:bCs/>
                <w:kern w:val="0"/>
                <w:sz w:val="24"/>
              </w:rPr>
            </w:pPr>
            <w:r>
              <w:rPr>
                <w:bCs/>
                <w:kern w:val="0"/>
                <w:sz w:val="24"/>
              </w:rPr>
              <w:t>8.7</w:t>
            </w:r>
          </w:p>
        </w:tc>
        <w:tc>
          <w:tcPr>
            <w:tcW w:w="567" w:type="dxa"/>
            <w:shd w:val="clear" w:color="auto" w:fill="CCFFCC"/>
            <w:vAlign w:val="center"/>
          </w:tcPr>
          <w:p>
            <w:pPr>
              <w:rPr>
                <w:bCs/>
                <w:kern w:val="0"/>
                <w:sz w:val="24"/>
              </w:rPr>
            </w:pPr>
            <w:r>
              <w:rPr>
                <w:bCs/>
                <w:kern w:val="0"/>
                <w:sz w:val="24"/>
              </w:rPr>
              <w:t>8.6</w:t>
            </w:r>
          </w:p>
        </w:tc>
        <w:tc>
          <w:tcPr>
            <w:tcW w:w="516" w:type="dxa"/>
            <w:gridSpan w:val="2"/>
            <w:shd w:val="clear" w:color="auto" w:fill="CCFFCC"/>
            <w:vAlign w:val="center"/>
          </w:tcPr>
          <w:p>
            <w:pPr>
              <w:rPr>
                <w:bCs/>
                <w:kern w:val="0"/>
                <w:sz w:val="24"/>
              </w:rPr>
            </w:pPr>
            <w:r>
              <w:rPr>
                <w:bCs/>
                <w:kern w:val="0"/>
                <w:sz w:val="24"/>
              </w:rPr>
              <w:t>8.6</w:t>
            </w:r>
          </w:p>
        </w:tc>
        <w:tc>
          <w:tcPr>
            <w:tcW w:w="464" w:type="dxa"/>
            <w:shd w:val="clear" w:color="auto" w:fill="CCFFCC"/>
            <w:vAlign w:val="center"/>
          </w:tcPr>
          <w:p>
            <w:pPr>
              <w:rPr>
                <w:bCs/>
                <w:kern w:val="0"/>
                <w:sz w:val="24"/>
              </w:rPr>
            </w:pPr>
            <w:r>
              <w:rPr>
                <w:bCs/>
                <w:kern w:val="0"/>
                <w:sz w:val="24"/>
              </w:rPr>
              <w:t>8.5</w:t>
            </w:r>
          </w:p>
        </w:tc>
        <w:tc>
          <w:tcPr>
            <w:tcW w:w="494" w:type="dxa"/>
            <w:shd w:val="clear" w:color="auto" w:fill="CCFFCC"/>
            <w:vAlign w:val="center"/>
          </w:tcPr>
          <w:p>
            <w:pPr>
              <w:rPr>
                <w:bCs/>
                <w:kern w:val="0"/>
                <w:sz w:val="24"/>
              </w:rPr>
            </w:pPr>
            <w:r>
              <w:rPr>
                <w:bCs/>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6" w:hRule="atLeast"/>
          <w:jc w:val="center"/>
        </w:trPr>
        <w:tc>
          <w:tcPr>
            <w:tcW w:w="640" w:type="dxa"/>
            <w:vMerge w:val="continue"/>
            <w:vAlign w:val="center"/>
          </w:tcPr>
          <w:p>
            <w:pPr>
              <w:rPr>
                <w:bCs/>
                <w:kern w:val="0"/>
                <w:sz w:val="24"/>
              </w:rPr>
            </w:pPr>
          </w:p>
        </w:tc>
        <w:tc>
          <w:tcPr>
            <w:tcW w:w="1544" w:type="dxa"/>
            <w:vAlign w:val="bottom"/>
          </w:tcPr>
          <w:p>
            <w:pPr>
              <w:rPr>
                <w:bCs/>
                <w:kern w:val="0"/>
                <w:sz w:val="24"/>
              </w:rPr>
            </w:pPr>
            <w:r>
              <w:rPr>
                <w:bCs/>
                <w:kern w:val="0"/>
                <w:sz w:val="24"/>
              </w:rPr>
              <w:t>HICP (year-on-year, %)</w:t>
            </w:r>
          </w:p>
        </w:tc>
        <w:tc>
          <w:tcPr>
            <w:tcW w:w="583" w:type="dxa"/>
            <w:vAlign w:val="center"/>
          </w:tcPr>
          <w:p>
            <w:pPr>
              <w:rPr>
                <w:bCs/>
                <w:kern w:val="0"/>
                <w:sz w:val="24"/>
              </w:rPr>
            </w:pPr>
            <w:bookmarkStart w:id="122" w:name="OLE_LINK25"/>
            <w:r>
              <w:rPr>
                <w:bCs/>
                <w:kern w:val="0"/>
                <w:sz w:val="24"/>
              </w:rPr>
              <w:t>1.8</w:t>
            </w:r>
          </w:p>
        </w:tc>
        <w:tc>
          <w:tcPr>
            <w:tcW w:w="494" w:type="dxa"/>
            <w:vAlign w:val="center"/>
          </w:tcPr>
          <w:p>
            <w:pPr>
              <w:rPr>
                <w:bCs/>
                <w:kern w:val="0"/>
                <w:sz w:val="24"/>
              </w:rPr>
            </w:pPr>
            <w:r>
              <w:rPr>
                <w:bCs/>
                <w:kern w:val="0"/>
                <w:sz w:val="24"/>
              </w:rPr>
              <w:t>2.0</w:t>
            </w:r>
          </w:p>
        </w:tc>
        <w:tc>
          <w:tcPr>
            <w:tcW w:w="514" w:type="dxa"/>
            <w:vAlign w:val="center"/>
          </w:tcPr>
          <w:p>
            <w:pPr>
              <w:rPr>
                <w:bCs/>
                <w:kern w:val="0"/>
                <w:sz w:val="24"/>
              </w:rPr>
            </w:pPr>
            <w:r>
              <w:rPr>
                <w:bCs/>
                <w:kern w:val="0"/>
                <w:sz w:val="24"/>
              </w:rPr>
              <w:t>1.5</w:t>
            </w:r>
          </w:p>
          <w:bookmarkEnd w:id="122"/>
        </w:tc>
        <w:tc>
          <w:tcPr>
            <w:tcW w:w="531" w:type="dxa"/>
            <w:vAlign w:val="center"/>
          </w:tcPr>
          <w:p>
            <w:pPr>
              <w:rPr>
                <w:bCs/>
                <w:kern w:val="0"/>
                <w:sz w:val="24"/>
              </w:rPr>
            </w:pPr>
            <w:bookmarkStart w:id="123" w:name="OLE_LINK26"/>
            <w:r>
              <w:rPr>
                <w:bCs/>
                <w:kern w:val="0"/>
                <w:sz w:val="24"/>
              </w:rPr>
              <w:t xml:space="preserve">1.9 </w:t>
            </w:r>
          </w:p>
        </w:tc>
        <w:tc>
          <w:tcPr>
            <w:tcW w:w="567" w:type="dxa"/>
            <w:vAlign w:val="center"/>
          </w:tcPr>
          <w:p>
            <w:pPr>
              <w:rPr>
                <w:bCs/>
                <w:kern w:val="0"/>
                <w:sz w:val="24"/>
              </w:rPr>
            </w:pPr>
            <w:r>
              <w:rPr>
                <w:bCs/>
                <w:kern w:val="0"/>
                <w:sz w:val="24"/>
              </w:rPr>
              <w:t>1.4</w:t>
            </w:r>
          </w:p>
        </w:tc>
        <w:tc>
          <w:tcPr>
            <w:tcW w:w="499" w:type="dxa"/>
            <w:vAlign w:val="center"/>
          </w:tcPr>
          <w:p>
            <w:pPr>
              <w:rPr>
                <w:bCs/>
                <w:kern w:val="0"/>
                <w:sz w:val="24"/>
              </w:rPr>
            </w:pPr>
            <w:r>
              <w:rPr>
                <w:bCs/>
                <w:kern w:val="0"/>
                <w:sz w:val="24"/>
              </w:rPr>
              <w:t>1.3</w:t>
            </w:r>
          </w:p>
          <w:bookmarkEnd w:id="123"/>
        </w:tc>
        <w:tc>
          <w:tcPr>
            <w:tcW w:w="567" w:type="dxa"/>
            <w:vAlign w:val="center"/>
          </w:tcPr>
          <w:p>
            <w:pPr>
              <w:rPr>
                <w:bCs/>
                <w:kern w:val="0"/>
                <w:sz w:val="24"/>
              </w:rPr>
            </w:pPr>
            <w:bookmarkStart w:id="124" w:name="OLE_LINK27"/>
            <w:r>
              <w:rPr>
                <w:bCs/>
                <w:kern w:val="0"/>
                <w:sz w:val="24"/>
              </w:rPr>
              <w:t>1.3</w:t>
            </w:r>
          </w:p>
        </w:tc>
        <w:tc>
          <w:tcPr>
            <w:tcW w:w="567" w:type="dxa"/>
            <w:vAlign w:val="center"/>
          </w:tcPr>
          <w:p>
            <w:pPr>
              <w:rPr>
                <w:bCs/>
                <w:kern w:val="0"/>
                <w:sz w:val="24"/>
              </w:rPr>
            </w:pPr>
            <w:r>
              <w:rPr>
                <w:bCs/>
                <w:kern w:val="0"/>
                <w:sz w:val="24"/>
              </w:rPr>
              <w:t>1.5</w:t>
            </w:r>
          </w:p>
        </w:tc>
        <w:tc>
          <w:tcPr>
            <w:tcW w:w="472" w:type="dxa"/>
            <w:vAlign w:val="center"/>
          </w:tcPr>
          <w:p>
            <w:pPr>
              <w:rPr>
                <w:bCs/>
                <w:kern w:val="0"/>
                <w:sz w:val="24"/>
              </w:rPr>
            </w:pPr>
            <w:r>
              <w:rPr>
                <w:bCs/>
                <w:kern w:val="0"/>
                <w:sz w:val="24"/>
              </w:rPr>
              <w:t>1.5</w:t>
            </w:r>
          </w:p>
          <w:bookmarkEnd w:id="124"/>
        </w:tc>
        <w:tc>
          <w:tcPr>
            <w:tcW w:w="567" w:type="dxa"/>
            <w:vAlign w:val="center"/>
          </w:tcPr>
          <w:p>
            <w:pPr>
              <w:rPr>
                <w:bCs/>
                <w:kern w:val="0"/>
                <w:sz w:val="24"/>
              </w:rPr>
            </w:pPr>
            <w:r>
              <w:rPr>
                <w:bCs/>
                <w:kern w:val="0"/>
                <w:sz w:val="24"/>
              </w:rPr>
              <w:t>1.4</w:t>
            </w:r>
          </w:p>
        </w:tc>
        <w:tc>
          <w:tcPr>
            <w:tcW w:w="567" w:type="dxa"/>
            <w:vAlign w:val="center"/>
          </w:tcPr>
          <w:p>
            <w:pPr>
              <w:rPr>
                <w:bCs/>
                <w:kern w:val="0"/>
                <w:sz w:val="24"/>
              </w:rPr>
            </w:pPr>
            <w:r>
              <w:rPr>
                <w:bCs/>
                <w:kern w:val="0"/>
                <w:sz w:val="24"/>
              </w:rPr>
              <w:t>1.5</w:t>
            </w:r>
          </w:p>
        </w:tc>
        <w:tc>
          <w:tcPr>
            <w:tcW w:w="567" w:type="dxa"/>
            <w:vAlign w:val="center"/>
          </w:tcPr>
          <w:p>
            <w:pPr>
              <w:rPr>
                <w:bCs/>
                <w:kern w:val="0"/>
                <w:sz w:val="24"/>
              </w:rPr>
            </w:pPr>
            <w:r>
              <w:rPr>
                <w:bCs/>
                <w:kern w:val="0"/>
                <w:sz w:val="24"/>
              </w:rPr>
              <w:t>1.4</w:t>
            </w:r>
          </w:p>
        </w:tc>
        <w:tc>
          <w:tcPr>
            <w:tcW w:w="516" w:type="dxa"/>
            <w:gridSpan w:val="2"/>
            <w:vAlign w:val="center"/>
          </w:tcPr>
          <w:p>
            <w:pPr>
              <w:rPr>
                <w:bCs/>
                <w:kern w:val="0"/>
                <w:sz w:val="24"/>
              </w:rPr>
            </w:pPr>
            <w:bookmarkStart w:id="125" w:name="OLE_LINK28"/>
            <w:r>
              <w:rPr>
                <w:bCs/>
                <w:kern w:val="0"/>
                <w:sz w:val="24"/>
              </w:rPr>
              <w:t>1.3</w:t>
            </w:r>
          </w:p>
        </w:tc>
        <w:tc>
          <w:tcPr>
            <w:tcW w:w="464" w:type="dxa"/>
            <w:vAlign w:val="center"/>
          </w:tcPr>
          <w:p>
            <w:pPr>
              <w:rPr>
                <w:bCs/>
                <w:kern w:val="0"/>
                <w:sz w:val="24"/>
              </w:rPr>
            </w:pPr>
            <w:r>
              <w:rPr>
                <w:bCs/>
                <w:kern w:val="0"/>
                <w:sz w:val="24"/>
              </w:rPr>
              <w:t>1.1</w:t>
            </w:r>
          </w:p>
        </w:tc>
        <w:tc>
          <w:tcPr>
            <w:tcW w:w="494" w:type="dxa"/>
            <w:vAlign w:val="center"/>
          </w:tcPr>
          <w:p>
            <w:pPr>
              <w:rPr>
                <w:bCs/>
                <w:kern w:val="0"/>
                <w:sz w:val="24"/>
              </w:rPr>
            </w:pPr>
            <w:r>
              <w:rPr>
                <w:bCs/>
                <w:kern w:val="0"/>
                <w:sz w:val="24"/>
              </w:rPr>
              <w:t>1.4</w:t>
            </w:r>
          </w:p>
          <w:bookmarkEnd w:id="12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6" w:hRule="atLeast"/>
          <w:jc w:val="center"/>
        </w:trPr>
        <w:tc>
          <w:tcPr>
            <w:tcW w:w="640" w:type="dxa"/>
            <w:vMerge w:val="continue"/>
            <w:shd w:val="clear" w:color="auto" w:fill="auto"/>
            <w:vAlign w:val="center"/>
          </w:tcPr>
          <w:p>
            <w:pPr>
              <w:rPr>
                <w:bCs/>
                <w:kern w:val="0"/>
                <w:sz w:val="24"/>
              </w:rPr>
            </w:pPr>
          </w:p>
        </w:tc>
        <w:tc>
          <w:tcPr>
            <w:tcW w:w="1544" w:type="dxa"/>
            <w:shd w:val="clear" w:color="auto" w:fill="CCFFCC"/>
            <w:vAlign w:val="bottom"/>
          </w:tcPr>
          <w:p>
            <w:pPr>
              <w:rPr>
                <w:bCs/>
                <w:kern w:val="0"/>
                <w:sz w:val="24"/>
              </w:rPr>
            </w:pPr>
            <w:r>
              <w:rPr>
                <w:bCs/>
                <w:kern w:val="0"/>
                <w:sz w:val="24"/>
              </w:rPr>
              <w:t>EURO STOXX 50 (end of the period)</w:t>
            </w:r>
          </w:p>
        </w:tc>
        <w:tc>
          <w:tcPr>
            <w:tcW w:w="583" w:type="dxa"/>
            <w:shd w:val="clear" w:color="auto" w:fill="CCFFCC"/>
            <w:vAlign w:val="center"/>
          </w:tcPr>
          <w:p>
            <w:pPr>
              <w:rPr>
                <w:bCs/>
                <w:kern w:val="0"/>
                <w:sz w:val="24"/>
              </w:rPr>
            </w:pPr>
            <w:r>
              <w:rPr>
                <w:bCs/>
                <w:kern w:val="0"/>
                <w:sz w:val="24"/>
              </w:rPr>
              <w:t>3231</w:t>
            </w:r>
          </w:p>
        </w:tc>
        <w:tc>
          <w:tcPr>
            <w:tcW w:w="494" w:type="dxa"/>
            <w:shd w:val="clear" w:color="auto" w:fill="CCFFCC"/>
            <w:vAlign w:val="center"/>
          </w:tcPr>
          <w:p>
            <w:pPr>
              <w:rPr>
                <w:bCs/>
                <w:kern w:val="0"/>
                <w:sz w:val="24"/>
              </w:rPr>
            </w:pPr>
            <w:r>
              <w:rPr>
                <w:bCs/>
                <w:kern w:val="0"/>
                <w:sz w:val="24"/>
              </w:rPr>
              <w:t>3320</w:t>
            </w:r>
          </w:p>
        </w:tc>
        <w:tc>
          <w:tcPr>
            <w:tcW w:w="514" w:type="dxa"/>
            <w:shd w:val="clear" w:color="auto" w:fill="CCFFCC"/>
            <w:vAlign w:val="center"/>
          </w:tcPr>
          <w:p>
            <w:pPr>
              <w:rPr>
                <w:bCs/>
                <w:kern w:val="0"/>
                <w:sz w:val="24"/>
              </w:rPr>
            </w:pPr>
            <w:r>
              <w:rPr>
                <w:bCs/>
                <w:kern w:val="0"/>
                <w:sz w:val="24"/>
              </w:rPr>
              <w:t>3501</w:t>
            </w:r>
          </w:p>
        </w:tc>
        <w:tc>
          <w:tcPr>
            <w:tcW w:w="531" w:type="dxa"/>
            <w:shd w:val="clear" w:color="auto" w:fill="CCFFCC"/>
            <w:vAlign w:val="center"/>
          </w:tcPr>
          <w:p>
            <w:pPr>
              <w:rPr>
                <w:bCs/>
                <w:kern w:val="0"/>
                <w:sz w:val="24"/>
              </w:rPr>
            </w:pPr>
            <w:r>
              <w:rPr>
                <w:bCs/>
                <w:kern w:val="0"/>
                <w:sz w:val="24"/>
              </w:rPr>
              <w:t>3560</w:t>
            </w:r>
          </w:p>
        </w:tc>
        <w:tc>
          <w:tcPr>
            <w:tcW w:w="567" w:type="dxa"/>
            <w:shd w:val="clear" w:color="auto" w:fill="CCFFCC"/>
            <w:vAlign w:val="center"/>
          </w:tcPr>
          <w:p>
            <w:pPr>
              <w:rPr>
                <w:bCs/>
                <w:kern w:val="0"/>
                <w:sz w:val="24"/>
              </w:rPr>
            </w:pPr>
            <w:r>
              <w:rPr>
                <w:bCs/>
                <w:kern w:val="0"/>
                <w:sz w:val="24"/>
              </w:rPr>
              <w:t>3555</w:t>
            </w:r>
          </w:p>
        </w:tc>
        <w:tc>
          <w:tcPr>
            <w:tcW w:w="499" w:type="dxa"/>
            <w:shd w:val="clear" w:color="auto" w:fill="CCFFCC"/>
            <w:vAlign w:val="center"/>
          </w:tcPr>
          <w:p>
            <w:pPr>
              <w:rPr>
                <w:bCs/>
                <w:kern w:val="0"/>
                <w:sz w:val="24"/>
              </w:rPr>
            </w:pPr>
            <w:r>
              <w:rPr>
                <w:bCs/>
                <w:kern w:val="0"/>
                <w:sz w:val="24"/>
              </w:rPr>
              <w:t>3442</w:t>
            </w:r>
          </w:p>
        </w:tc>
        <w:tc>
          <w:tcPr>
            <w:tcW w:w="567" w:type="dxa"/>
            <w:shd w:val="clear" w:color="auto" w:fill="CCFFCC"/>
            <w:vAlign w:val="center"/>
          </w:tcPr>
          <w:p>
            <w:pPr>
              <w:rPr>
                <w:bCs/>
                <w:kern w:val="0"/>
                <w:sz w:val="24"/>
              </w:rPr>
            </w:pPr>
            <w:r>
              <w:rPr>
                <w:bCs/>
                <w:kern w:val="0"/>
                <w:sz w:val="24"/>
              </w:rPr>
              <w:t>3449</w:t>
            </w:r>
          </w:p>
        </w:tc>
        <w:tc>
          <w:tcPr>
            <w:tcW w:w="567" w:type="dxa"/>
            <w:shd w:val="clear" w:color="auto" w:fill="CCFFCC"/>
            <w:vAlign w:val="center"/>
          </w:tcPr>
          <w:p>
            <w:pPr>
              <w:rPr>
                <w:bCs/>
                <w:kern w:val="0"/>
                <w:sz w:val="24"/>
              </w:rPr>
            </w:pPr>
            <w:r>
              <w:rPr>
                <w:bCs/>
                <w:kern w:val="0"/>
                <w:sz w:val="24"/>
              </w:rPr>
              <w:t>3421</w:t>
            </w:r>
          </w:p>
        </w:tc>
        <w:tc>
          <w:tcPr>
            <w:tcW w:w="472" w:type="dxa"/>
            <w:shd w:val="clear" w:color="auto" w:fill="CCFFCC"/>
            <w:vAlign w:val="center"/>
          </w:tcPr>
          <w:p>
            <w:pPr>
              <w:rPr>
                <w:bCs/>
                <w:kern w:val="0"/>
                <w:sz w:val="24"/>
              </w:rPr>
            </w:pPr>
            <w:r>
              <w:rPr>
                <w:bCs/>
                <w:kern w:val="0"/>
                <w:sz w:val="24"/>
              </w:rPr>
              <w:t>3595</w:t>
            </w:r>
          </w:p>
        </w:tc>
        <w:tc>
          <w:tcPr>
            <w:tcW w:w="567" w:type="dxa"/>
            <w:shd w:val="clear" w:color="auto" w:fill="CCFFCC"/>
            <w:vAlign w:val="center"/>
          </w:tcPr>
          <w:p>
            <w:pPr>
              <w:rPr>
                <w:bCs/>
                <w:kern w:val="0"/>
                <w:sz w:val="24"/>
              </w:rPr>
            </w:pPr>
            <w:r>
              <w:rPr>
                <w:bCs/>
                <w:kern w:val="0"/>
                <w:sz w:val="24"/>
              </w:rPr>
              <w:t>3674</w:t>
            </w:r>
          </w:p>
        </w:tc>
        <w:tc>
          <w:tcPr>
            <w:tcW w:w="567" w:type="dxa"/>
            <w:shd w:val="clear" w:color="auto" w:fill="CCFFCC"/>
            <w:vAlign w:val="center"/>
          </w:tcPr>
          <w:p>
            <w:pPr>
              <w:rPr>
                <w:bCs/>
                <w:kern w:val="0"/>
                <w:sz w:val="24"/>
              </w:rPr>
            </w:pPr>
            <w:r>
              <w:rPr>
                <w:bCs/>
                <w:kern w:val="0"/>
                <w:sz w:val="24"/>
              </w:rPr>
              <w:t>3570</w:t>
            </w:r>
          </w:p>
        </w:tc>
        <w:tc>
          <w:tcPr>
            <w:tcW w:w="567" w:type="dxa"/>
            <w:shd w:val="clear" w:color="auto" w:fill="CCFFCC"/>
            <w:vAlign w:val="center"/>
          </w:tcPr>
          <w:p>
            <w:pPr>
              <w:rPr>
                <w:bCs/>
                <w:kern w:val="0"/>
                <w:sz w:val="24"/>
              </w:rPr>
            </w:pPr>
            <w:r>
              <w:rPr>
                <w:bCs/>
                <w:kern w:val="0"/>
                <w:sz w:val="24"/>
              </w:rPr>
              <w:t>3504</w:t>
            </w:r>
          </w:p>
        </w:tc>
        <w:tc>
          <w:tcPr>
            <w:tcW w:w="516" w:type="dxa"/>
            <w:gridSpan w:val="2"/>
            <w:shd w:val="clear" w:color="auto" w:fill="CCFFCC"/>
            <w:vAlign w:val="center"/>
          </w:tcPr>
          <w:p>
            <w:pPr>
              <w:rPr>
                <w:bCs/>
                <w:kern w:val="0"/>
                <w:sz w:val="24"/>
              </w:rPr>
            </w:pPr>
            <w:r>
              <w:rPr>
                <w:bCs/>
                <w:kern w:val="0"/>
                <w:sz w:val="24"/>
              </w:rPr>
              <w:t>3609</w:t>
            </w:r>
          </w:p>
        </w:tc>
        <w:tc>
          <w:tcPr>
            <w:tcW w:w="464" w:type="dxa"/>
            <w:shd w:val="clear" w:color="auto" w:fill="CCFFCC"/>
            <w:vAlign w:val="center"/>
          </w:tcPr>
          <w:p>
            <w:pPr>
              <w:rPr>
                <w:bCs/>
                <w:kern w:val="0"/>
                <w:sz w:val="24"/>
              </w:rPr>
            </w:pPr>
            <w:r>
              <w:rPr>
                <w:bCs/>
                <w:kern w:val="0"/>
                <w:sz w:val="24"/>
              </w:rPr>
              <w:t>3439</w:t>
            </w:r>
          </w:p>
        </w:tc>
        <w:tc>
          <w:tcPr>
            <w:tcW w:w="494" w:type="dxa"/>
            <w:shd w:val="clear" w:color="auto" w:fill="CCFFCC"/>
            <w:vAlign w:val="center"/>
          </w:tcPr>
          <w:p>
            <w:pPr>
              <w:rPr>
                <w:bCs/>
                <w:kern w:val="0"/>
                <w:sz w:val="24"/>
              </w:rPr>
            </w:pPr>
            <w:r>
              <w:rPr>
                <w:bCs/>
                <w:kern w:val="0"/>
                <w:sz w:val="24"/>
              </w:rPr>
              <w:t>3361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restart"/>
            <w:textDirection w:val="tbRlV"/>
            <w:vAlign w:val="center"/>
          </w:tcPr>
          <w:p>
            <w:pPr>
              <w:rPr>
                <w:bCs/>
                <w:kern w:val="0"/>
                <w:sz w:val="24"/>
              </w:rPr>
            </w:pPr>
            <w:r>
              <w:rPr>
                <w:bCs/>
                <w:kern w:val="0"/>
                <w:sz w:val="24"/>
              </w:rPr>
              <w:t>Japan</w:t>
            </w:r>
          </w:p>
        </w:tc>
        <w:tc>
          <w:tcPr>
            <w:tcW w:w="1544" w:type="dxa"/>
            <w:vAlign w:val="bottom"/>
          </w:tcPr>
          <w:p>
            <w:pPr>
              <w:rPr>
                <w:bCs/>
                <w:kern w:val="0"/>
                <w:sz w:val="24"/>
              </w:rPr>
            </w:pPr>
            <w:r>
              <w:rPr>
                <w:bCs/>
                <w:kern w:val="0"/>
                <w:sz w:val="24"/>
              </w:rPr>
              <w:t>Real GDP Growth (annualized quarterly rate, %)</w:t>
            </w:r>
          </w:p>
        </w:tc>
        <w:tc>
          <w:tcPr>
            <w:tcW w:w="1591" w:type="dxa"/>
            <w:gridSpan w:val="3"/>
            <w:vAlign w:val="center"/>
          </w:tcPr>
          <w:p>
            <w:pPr>
              <w:rPr>
                <w:bCs/>
                <w:kern w:val="0"/>
                <w:sz w:val="24"/>
              </w:rPr>
            </w:pPr>
            <w:r>
              <w:rPr>
                <w:bCs/>
                <w:kern w:val="0"/>
                <w:sz w:val="24"/>
              </w:rPr>
              <w:t>1.5</w:t>
            </w:r>
          </w:p>
        </w:tc>
        <w:tc>
          <w:tcPr>
            <w:tcW w:w="1597" w:type="dxa"/>
            <w:gridSpan w:val="3"/>
            <w:vAlign w:val="center"/>
          </w:tcPr>
          <w:p>
            <w:pPr>
              <w:rPr>
                <w:bCs/>
                <w:kern w:val="0"/>
                <w:sz w:val="24"/>
              </w:rPr>
            </w:pPr>
            <w:r>
              <w:rPr>
                <w:bCs/>
                <w:kern w:val="0"/>
                <w:sz w:val="24"/>
              </w:rPr>
              <w:t>2.9</w:t>
            </w:r>
          </w:p>
        </w:tc>
        <w:tc>
          <w:tcPr>
            <w:tcW w:w="1606" w:type="dxa"/>
            <w:gridSpan w:val="3"/>
            <w:vAlign w:val="center"/>
          </w:tcPr>
          <w:p>
            <w:pPr>
              <w:rPr>
                <w:bCs/>
                <w:kern w:val="0"/>
                <w:sz w:val="24"/>
              </w:rPr>
            </w:pPr>
            <w:r>
              <w:rPr>
                <w:bCs/>
                <w:kern w:val="0"/>
                <w:sz w:val="24"/>
              </w:rPr>
              <w:t>2.5</w:t>
            </w:r>
          </w:p>
        </w:tc>
        <w:tc>
          <w:tcPr>
            <w:tcW w:w="1701" w:type="dxa"/>
            <w:gridSpan w:val="3"/>
            <w:vAlign w:val="center"/>
          </w:tcPr>
          <w:p>
            <w:pPr>
              <w:rPr>
                <w:bCs/>
                <w:kern w:val="0"/>
                <w:sz w:val="24"/>
              </w:rPr>
            </w:pPr>
            <w:r>
              <w:rPr>
                <w:bCs/>
                <w:kern w:val="0"/>
                <w:sz w:val="24"/>
              </w:rPr>
              <w:t>1.6</w:t>
            </w:r>
          </w:p>
        </w:tc>
        <w:tc>
          <w:tcPr>
            <w:tcW w:w="1474" w:type="dxa"/>
            <w:gridSpan w:val="4"/>
            <w:vAlign w:val="center"/>
          </w:tcPr>
          <w:p>
            <w:pPr>
              <w:rPr>
                <w:bCs/>
                <w:kern w:val="0"/>
                <w:sz w:val="24"/>
              </w:rPr>
            </w:pPr>
            <w:r>
              <w:rPr>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continue"/>
            <w:shd w:val="clear" w:color="auto" w:fill="auto"/>
            <w:vAlign w:val="center"/>
          </w:tcPr>
          <w:p>
            <w:pPr>
              <w:rPr>
                <w:bCs/>
                <w:kern w:val="0"/>
                <w:sz w:val="24"/>
              </w:rPr>
            </w:pPr>
          </w:p>
        </w:tc>
        <w:tc>
          <w:tcPr>
            <w:tcW w:w="1544" w:type="dxa"/>
            <w:shd w:val="clear" w:color="auto" w:fill="CCFFCC"/>
            <w:vAlign w:val="bottom"/>
          </w:tcPr>
          <w:p>
            <w:pPr>
              <w:rPr>
                <w:bCs/>
                <w:kern w:val="0"/>
                <w:sz w:val="24"/>
              </w:rPr>
            </w:pPr>
            <w:r>
              <w:rPr>
                <w:bCs/>
                <w:kern w:val="0"/>
                <w:sz w:val="24"/>
              </w:rPr>
              <w:t>Unemployment Rate (%)</w:t>
            </w:r>
          </w:p>
        </w:tc>
        <w:tc>
          <w:tcPr>
            <w:tcW w:w="583" w:type="dxa"/>
            <w:shd w:val="clear" w:color="auto" w:fill="CCFFCC"/>
            <w:vAlign w:val="center"/>
          </w:tcPr>
          <w:p>
            <w:pPr>
              <w:rPr>
                <w:bCs/>
                <w:kern w:val="0"/>
                <w:sz w:val="24"/>
              </w:rPr>
            </w:pPr>
            <w:r>
              <w:rPr>
                <w:bCs/>
                <w:kern w:val="0"/>
                <w:sz w:val="24"/>
              </w:rPr>
              <w:t>3.0</w:t>
            </w:r>
          </w:p>
        </w:tc>
        <w:tc>
          <w:tcPr>
            <w:tcW w:w="494" w:type="dxa"/>
            <w:shd w:val="clear" w:color="auto" w:fill="CCFFCC"/>
            <w:vAlign w:val="center"/>
          </w:tcPr>
          <w:p>
            <w:pPr>
              <w:rPr>
                <w:bCs/>
                <w:kern w:val="0"/>
                <w:sz w:val="24"/>
              </w:rPr>
            </w:pPr>
            <w:r>
              <w:rPr>
                <w:bCs/>
                <w:kern w:val="0"/>
                <w:sz w:val="24"/>
              </w:rPr>
              <w:t>2.8</w:t>
            </w:r>
          </w:p>
        </w:tc>
        <w:tc>
          <w:tcPr>
            <w:tcW w:w="514" w:type="dxa"/>
            <w:shd w:val="clear" w:color="auto" w:fill="CCFFCC"/>
            <w:vAlign w:val="center"/>
          </w:tcPr>
          <w:p>
            <w:pPr>
              <w:rPr>
                <w:bCs/>
                <w:kern w:val="0"/>
                <w:sz w:val="24"/>
              </w:rPr>
            </w:pPr>
            <w:r>
              <w:rPr>
                <w:bCs/>
                <w:kern w:val="0"/>
                <w:sz w:val="24"/>
              </w:rPr>
              <w:t>2.8</w:t>
            </w:r>
          </w:p>
        </w:tc>
        <w:tc>
          <w:tcPr>
            <w:tcW w:w="531" w:type="dxa"/>
            <w:shd w:val="clear" w:color="auto" w:fill="CCFFCC"/>
            <w:vAlign w:val="center"/>
          </w:tcPr>
          <w:p>
            <w:pPr>
              <w:rPr>
                <w:bCs/>
                <w:kern w:val="0"/>
                <w:sz w:val="24"/>
              </w:rPr>
            </w:pPr>
            <w:r>
              <w:rPr>
                <w:bCs/>
                <w:kern w:val="0"/>
                <w:sz w:val="24"/>
              </w:rPr>
              <w:t>2.9</w:t>
            </w:r>
          </w:p>
        </w:tc>
        <w:tc>
          <w:tcPr>
            <w:tcW w:w="567" w:type="dxa"/>
            <w:shd w:val="clear" w:color="auto" w:fill="CCFFCC"/>
            <w:vAlign w:val="center"/>
          </w:tcPr>
          <w:p>
            <w:pPr>
              <w:rPr>
                <w:bCs/>
                <w:kern w:val="0"/>
                <w:sz w:val="24"/>
              </w:rPr>
            </w:pPr>
            <w:r>
              <w:rPr>
                <w:bCs/>
                <w:kern w:val="0"/>
                <w:sz w:val="24"/>
              </w:rPr>
              <w:t>3.1</w:t>
            </w:r>
          </w:p>
        </w:tc>
        <w:tc>
          <w:tcPr>
            <w:tcW w:w="499" w:type="dxa"/>
            <w:shd w:val="clear" w:color="auto" w:fill="CCFFCC"/>
            <w:vAlign w:val="center"/>
          </w:tcPr>
          <w:p>
            <w:pPr>
              <w:rPr>
                <w:bCs/>
                <w:kern w:val="0"/>
                <w:sz w:val="24"/>
              </w:rPr>
            </w:pPr>
            <w:r>
              <w:rPr>
                <w:bCs/>
                <w:kern w:val="0"/>
                <w:sz w:val="24"/>
              </w:rPr>
              <w:t>2.8</w:t>
            </w:r>
          </w:p>
        </w:tc>
        <w:tc>
          <w:tcPr>
            <w:tcW w:w="567" w:type="dxa"/>
            <w:shd w:val="clear" w:color="auto" w:fill="CCFFCC"/>
            <w:vAlign w:val="center"/>
          </w:tcPr>
          <w:p>
            <w:pPr>
              <w:rPr>
                <w:bCs/>
                <w:kern w:val="0"/>
                <w:sz w:val="24"/>
              </w:rPr>
            </w:pPr>
            <w:r>
              <w:rPr>
                <w:bCs/>
                <w:kern w:val="0"/>
                <w:sz w:val="24"/>
              </w:rPr>
              <w:t>2.8</w:t>
            </w:r>
          </w:p>
        </w:tc>
        <w:tc>
          <w:tcPr>
            <w:tcW w:w="567" w:type="dxa"/>
            <w:shd w:val="clear" w:color="auto" w:fill="CCFFCC"/>
            <w:vAlign w:val="center"/>
          </w:tcPr>
          <w:p>
            <w:pPr>
              <w:rPr>
                <w:bCs/>
                <w:kern w:val="0"/>
                <w:sz w:val="24"/>
              </w:rPr>
            </w:pPr>
            <w:r>
              <w:rPr>
                <w:bCs/>
                <w:kern w:val="0"/>
                <w:sz w:val="24"/>
              </w:rPr>
              <w:t>2.8</w:t>
            </w:r>
          </w:p>
        </w:tc>
        <w:tc>
          <w:tcPr>
            <w:tcW w:w="472" w:type="dxa"/>
            <w:shd w:val="clear" w:color="auto" w:fill="CCFFCC"/>
            <w:vAlign w:val="center"/>
          </w:tcPr>
          <w:p>
            <w:pPr>
              <w:rPr>
                <w:bCs/>
                <w:kern w:val="0"/>
                <w:sz w:val="24"/>
              </w:rPr>
            </w:pPr>
            <w:r>
              <w:rPr>
                <w:bCs/>
                <w:kern w:val="0"/>
                <w:sz w:val="24"/>
              </w:rPr>
              <w:t>2.8</w:t>
            </w:r>
          </w:p>
        </w:tc>
        <w:tc>
          <w:tcPr>
            <w:tcW w:w="567" w:type="dxa"/>
            <w:shd w:val="clear" w:color="auto" w:fill="CCFFCC"/>
            <w:vAlign w:val="center"/>
          </w:tcPr>
          <w:p>
            <w:pPr>
              <w:rPr>
                <w:bCs/>
                <w:kern w:val="0"/>
                <w:sz w:val="24"/>
              </w:rPr>
            </w:pPr>
            <w:r>
              <w:rPr>
                <w:bCs/>
                <w:kern w:val="0"/>
                <w:sz w:val="24"/>
              </w:rPr>
              <w:t>2.7</w:t>
            </w:r>
          </w:p>
        </w:tc>
        <w:tc>
          <w:tcPr>
            <w:tcW w:w="567" w:type="dxa"/>
            <w:shd w:val="clear" w:color="auto" w:fill="CCFFCC"/>
            <w:vAlign w:val="center"/>
          </w:tcPr>
          <w:p>
            <w:pPr>
              <w:rPr>
                <w:bCs/>
                <w:kern w:val="0"/>
                <w:sz w:val="24"/>
              </w:rPr>
            </w:pPr>
            <w:r>
              <w:rPr>
                <w:bCs/>
                <w:kern w:val="0"/>
                <w:sz w:val="24"/>
              </w:rPr>
              <w:t>2.6</w:t>
            </w:r>
          </w:p>
        </w:tc>
        <w:tc>
          <w:tcPr>
            <w:tcW w:w="567" w:type="dxa"/>
            <w:shd w:val="clear" w:color="auto" w:fill="CCFFCC"/>
            <w:vAlign w:val="center"/>
          </w:tcPr>
          <w:p>
            <w:pPr>
              <w:rPr>
                <w:bCs/>
                <w:kern w:val="0"/>
                <w:sz w:val="24"/>
              </w:rPr>
            </w:pPr>
            <w:r>
              <w:rPr>
                <w:bCs/>
                <w:kern w:val="0"/>
                <w:sz w:val="24"/>
              </w:rPr>
              <w:t>2.6</w:t>
            </w:r>
          </w:p>
        </w:tc>
        <w:tc>
          <w:tcPr>
            <w:tcW w:w="516" w:type="dxa"/>
            <w:gridSpan w:val="2"/>
            <w:shd w:val="clear" w:color="auto" w:fill="CCFFCC"/>
            <w:vAlign w:val="center"/>
          </w:tcPr>
          <w:p>
            <w:pPr>
              <w:rPr>
                <w:bCs/>
                <w:kern w:val="0"/>
                <w:sz w:val="24"/>
              </w:rPr>
            </w:pPr>
            <w:r>
              <w:rPr>
                <w:bCs/>
                <w:kern w:val="0"/>
                <w:sz w:val="24"/>
              </w:rPr>
              <w:t>2.4</w:t>
            </w:r>
          </w:p>
        </w:tc>
        <w:tc>
          <w:tcPr>
            <w:tcW w:w="464" w:type="dxa"/>
            <w:shd w:val="clear" w:color="auto" w:fill="CCFFCC"/>
            <w:vAlign w:val="center"/>
          </w:tcPr>
          <w:p>
            <w:pPr>
              <w:rPr>
                <w:bCs/>
                <w:kern w:val="0"/>
                <w:sz w:val="24"/>
              </w:rPr>
            </w:pPr>
            <w:r>
              <w:rPr>
                <w:bCs/>
                <w:kern w:val="0"/>
                <w:sz w:val="24"/>
              </w:rPr>
              <w:t>2.5</w:t>
            </w:r>
          </w:p>
        </w:tc>
        <w:tc>
          <w:tcPr>
            <w:tcW w:w="494" w:type="dxa"/>
            <w:shd w:val="clear" w:color="auto" w:fill="CCFFCC"/>
            <w:vAlign w:val="center"/>
          </w:tcPr>
          <w:p>
            <w:pPr>
              <w:rPr>
                <w:bCs/>
                <w:kern w:val="0"/>
                <w:sz w:val="24"/>
              </w:rPr>
            </w:pPr>
            <w:r>
              <w:rPr>
                <w:bCs/>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continue"/>
            <w:vAlign w:val="center"/>
          </w:tcPr>
          <w:p>
            <w:pPr>
              <w:rPr>
                <w:bCs/>
                <w:kern w:val="0"/>
                <w:sz w:val="24"/>
              </w:rPr>
            </w:pPr>
          </w:p>
        </w:tc>
        <w:tc>
          <w:tcPr>
            <w:tcW w:w="1544" w:type="dxa"/>
            <w:vAlign w:val="bottom"/>
          </w:tcPr>
          <w:p>
            <w:pPr>
              <w:rPr>
                <w:bCs/>
                <w:kern w:val="0"/>
                <w:sz w:val="24"/>
              </w:rPr>
            </w:pPr>
            <w:r>
              <w:rPr>
                <w:bCs/>
                <w:kern w:val="0"/>
                <w:sz w:val="24"/>
              </w:rPr>
              <w:t>CPI (year-on-year, %)</w:t>
            </w:r>
          </w:p>
        </w:tc>
        <w:tc>
          <w:tcPr>
            <w:tcW w:w="583" w:type="dxa"/>
            <w:vAlign w:val="center"/>
          </w:tcPr>
          <w:p>
            <w:pPr>
              <w:rPr>
                <w:bCs/>
                <w:kern w:val="0"/>
                <w:sz w:val="24"/>
              </w:rPr>
            </w:pPr>
            <w:bookmarkStart w:id="126" w:name="OLE_LINK29"/>
            <w:r>
              <w:rPr>
                <w:bCs/>
                <w:kern w:val="0"/>
                <w:sz w:val="24"/>
              </w:rPr>
              <w:t>0.4</w:t>
            </w:r>
          </w:p>
        </w:tc>
        <w:tc>
          <w:tcPr>
            <w:tcW w:w="494" w:type="dxa"/>
            <w:vAlign w:val="center"/>
          </w:tcPr>
          <w:p>
            <w:pPr>
              <w:rPr>
                <w:bCs/>
                <w:kern w:val="0"/>
                <w:sz w:val="24"/>
              </w:rPr>
            </w:pPr>
            <w:r>
              <w:rPr>
                <w:bCs/>
                <w:kern w:val="0"/>
                <w:sz w:val="24"/>
              </w:rPr>
              <w:t>0.3</w:t>
            </w:r>
          </w:p>
        </w:tc>
        <w:tc>
          <w:tcPr>
            <w:tcW w:w="514" w:type="dxa"/>
            <w:vAlign w:val="center"/>
          </w:tcPr>
          <w:p>
            <w:pPr>
              <w:rPr>
                <w:bCs/>
                <w:kern w:val="0"/>
                <w:sz w:val="24"/>
              </w:rPr>
            </w:pPr>
            <w:r>
              <w:rPr>
                <w:bCs/>
                <w:kern w:val="0"/>
                <w:sz w:val="24"/>
              </w:rPr>
              <w:t>0.2</w:t>
            </w:r>
          </w:p>
          <w:bookmarkEnd w:id="126"/>
        </w:tc>
        <w:tc>
          <w:tcPr>
            <w:tcW w:w="531" w:type="dxa"/>
            <w:vAlign w:val="center"/>
          </w:tcPr>
          <w:p>
            <w:pPr>
              <w:rPr>
                <w:bCs/>
                <w:kern w:val="0"/>
                <w:sz w:val="24"/>
              </w:rPr>
            </w:pPr>
            <w:bookmarkStart w:id="127" w:name="OLE_LINK30"/>
            <w:r>
              <w:rPr>
                <w:bCs/>
                <w:kern w:val="0"/>
                <w:sz w:val="24"/>
              </w:rPr>
              <w:t>0.4</w:t>
            </w:r>
          </w:p>
        </w:tc>
        <w:tc>
          <w:tcPr>
            <w:tcW w:w="567" w:type="dxa"/>
            <w:vAlign w:val="center"/>
          </w:tcPr>
          <w:p>
            <w:pPr>
              <w:rPr>
                <w:bCs/>
                <w:kern w:val="0"/>
                <w:sz w:val="24"/>
              </w:rPr>
            </w:pPr>
            <w:r>
              <w:rPr>
                <w:bCs/>
                <w:kern w:val="0"/>
                <w:sz w:val="24"/>
              </w:rPr>
              <w:t>0.4</w:t>
            </w:r>
          </w:p>
        </w:tc>
        <w:tc>
          <w:tcPr>
            <w:tcW w:w="499" w:type="dxa"/>
            <w:vAlign w:val="center"/>
          </w:tcPr>
          <w:p>
            <w:pPr>
              <w:rPr>
                <w:bCs/>
                <w:kern w:val="0"/>
                <w:sz w:val="24"/>
              </w:rPr>
            </w:pPr>
            <w:r>
              <w:rPr>
                <w:bCs/>
                <w:kern w:val="0"/>
                <w:sz w:val="24"/>
              </w:rPr>
              <w:t>0.4</w:t>
            </w:r>
          </w:p>
          <w:bookmarkEnd w:id="127"/>
        </w:tc>
        <w:tc>
          <w:tcPr>
            <w:tcW w:w="567" w:type="dxa"/>
            <w:vAlign w:val="center"/>
          </w:tcPr>
          <w:p>
            <w:pPr>
              <w:rPr>
                <w:bCs/>
                <w:kern w:val="0"/>
                <w:sz w:val="24"/>
              </w:rPr>
            </w:pPr>
            <w:bookmarkStart w:id="128" w:name="OLE_LINK31"/>
            <w:r>
              <w:rPr>
                <w:bCs/>
                <w:kern w:val="0"/>
                <w:sz w:val="24"/>
              </w:rPr>
              <w:t>0.4</w:t>
            </w:r>
          </w:p>
        </w:tc>
        <w:tc>
          <w:tcPr>
            <w:tcW w:w="567" w:type="dxa"/>
            <w:vAlign w:val="center"/>
          </w:tcPr>
          <w:p>
            <w:pPr>
              <w:rPr>
                <w:bCs/>
                <w:kern w:val="0"/>
                <w:sz w:val="24"/>
              </w:rPr>
            </w:pPr>
            <w:r>
              <w:rPr>
                <w:bCs/>
                <w:kern w:val="0"/>
                <w:sz w:val="24"/>
              </w:rPr>
              <w:t>0.7</w:t>
            </w:r>
          </w:p>
        </w:tc>
        <w:tc>
          <w:tcPr>
            <w:tcW w:w="472" w:type="dxa"/>
            <w:vAlign w:val="center"/>
          </w:tcPr>
          <w:p>
            <w:pPr>
              <w:rPr>
                <w:bCs/>
                <w:kern w:val="0"/>
                <w:sz w:val="24"/>
              </w:rPr>
            </w:pPr>
            <w:r>
              <w:rPr>
                <w:bCs/>
                <w:kern w:val="0"/>
                <w:sz w:val="24"/>
              </w:rPr>
              <w:t>0.7</w:t>
            </w:r>
          </w:p>
          <w:bookmarkEnd w:id="128"/>
        </w:tc>
        <w:tc>
          <w:tcPr>
            <w:tcW w:w="567" w:type="dxa"/>
            <w:vAlign w:val="center"/>
          </w:tcPr>
          <w:p>
            <w:pPr>
              <w:rPr>
                <w:bCs/>
                <w:kern w:val="0"/>
                <w:sz w:val="24"/>
              </w:rPr>
            </w:pPr>
            <w:r>
              <w:rPr>
                <w:bCs/>
                <w:kern w:val="0"/>
                <w:sz w:val="24"/>
              </w:rPr>
              <w:t>0.2</w:t>
            </w:r>
          </w:p>
        </w:tc>
        <w:tc>
          <w:tcPr>
            <w:tcW w:w="567" w:type="dxa"/>
            <w:vAlign w:val="center"/>
          </w:tcPr>
          <w:p>
            <w:pPr>
              <w:rPr>
                <w:bCs/>
                <w:kern w:val="0"/>
                <w:sz w:val="24"/>
              </w:rPr>
            </w:pPr>
            <w:r>
              <w:rPr>
                <w:bCs/>
                <w:kern w:val="0"/>
                <w:sz w:val="24"/>
              </w:rPr>
              <w:t>0.6</w:t>
            </w:r>
          </w:p>
        </w:tc>
        <w:tc>
          <w:tcPr>
            <w:tcW w:w="567" w:type="dxa"/>
            <w:vAlign w:val="center"/>
          </w:tcPr>
          <w:p>
            <w:pPr>
              <w:rPr>
                <w:bCs/>
                <w:kern w:val="0"/>
                <w:sz w:val="24"/>
              </w:rPr>
            </w:pPr>
            <w:r>
              <w:rPr>
                <w:bCs/>
                <w:kern w:val="0"/>
                <w:sz w:val="24"/>
              </w:rPr>
              <w:t>1.0</w:t>
            </w:r>
          </w:p>
        </w:tc>
        <w:tc>
          <w:tcPr>
            <w:tcW w:w="516" w:type="dxa"/>
            <w:gridSpan w:val="2"/>
            <w:vAlign w:val="center"/>
          </w:tcPr>
          <w:p>
            <w:pPr>
              <w:rPr>
                <w:bCs/>
                <w:kern w:val="0"/>
                <w:sz w:val="24"/>
              </w:rPr>
            </w:pPr>
            <w:bookmarkStart w:id="129" w:name="OLE_LINK32"/>
            <w:r>
              <w:rPr>
                <w:bCs/>
                <w:kern w:val="0"/>
                <w:sz w:val="24"/>
              </w:rPr>
              <w:t>1.4</w:t>
            </w:r>
          </w:p>
        </w:tc>
        <w:tc>
          <w:tcPr>
            <w:tcW w:w="464" w:type="dxa"/>
            <w:vAlign w:val="center"/>
          </w:tcPr>
          <w:p>
            <w:pPr>
              <w:rPr>
                <w:bCs/>
                <w:kern w:val="0"/>
                <w:sz w:val="24"/>
              </w:rPr>
            </w:pPr>
            <w:r>
              <w:rPr>
                <w:bCs/>
                <w:kern w:val="0"/>
                <w:sz w:val="24"/>
              </w:rPr>
              <w:t>1.5</w:t>
            </w:r>
          </w:p>
        </w:tc>
        <w:tc>
          <w:tcPr>
            <w:tcW w:w="494" w:type="dxa"/>
            <w:vAlign w:val="center"/>
          </w:tcPr>
          <w:p>
            <w:pPr>
              <w:rPr>
                <w:bCs/>
                <w:kern w:val="0"/>
                <w:sz w:val="24"/>
              </w:rPr>
            </w:pPr>
            <w:r>
              <w:rPr>
                <w:bCs/>
                <w:kern w:val="0"/>
                <w:sz w:val="24"/>
              </w:rPr>
              <w:t>1.1</w:t>
            </w:r>
          </w:p>
          <w:bookmarkEnd w:id="12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jc w:val="center"/>
        </w:trPr>
        <w:tc>
          <w:tcPr>
            <w:tcW w:w="640" w:type="dxa"/>
            <w:vMerge w:val="continue"/>
            <w:shd w:val="clear" w:color="auto" w:fill="auto"/>
            <w:vAlign w:val="center"/>
          </w:tcPr>
          <w:p>
            <w:pPr>
              <w:rPr>
                <w:bCs/>
                <w:kern w:val="0"/>
                <w:sz w:val="24"/>
              </w:rPr>
            </w:pPr>
          </w:p>
        </w:tc>
        <w:tc>
          <w:tcPr>
            <w:tcW w:w="1544" w:type="dxa"/>
            <w:shd w:val="clear" w:color="auto" w:fill="CCFFCC"/>
            <w:vAlign w:val="bottom"/>
          </w:tcPr>
          <w:p>
            <w:pPr>
              <w:rPr>
                <w:bCs/>
                <w:kern w:val="0"/>
                <w:sz w:val="24"/>
              </w:rPr>
            </w:pPr>
            <w:r>
              <w:rPr>
                <w:bCs/>
                <w:kern w:val="0"/>
                <w:sz w:val="24"/>
              </w:rPr>
              <w:t>NIKKEI 225 (end of the period)</w:t>
            </w:r>
          </w:p>
        </w:tc>
        <w:tc>
          <w:tcPr>
            <w:tcW w:w="583" w:type="dxa"/>
            <w:shd w:val="clear" w:color="auto" w:fill="CCFFCC"/>
            <w:vAlign w:val="center"/>
          </w:tcPr>
          <w:p>
            <w:pPr>
              <w:rPr>
                <w:bCs/>
                <w:kern w:val="0"/>
                <w:sz w:val="24"/>
              </w:rPr>
            </w:pPr>
            <w:r>
              <w:rPr>
                <w:bCs/>
                <w:kern w:val="0"/>
                <w:sz w:val="24"/>
              </w:rPr>
              <w:t>19041</w:t>
            </w:r>
          </w:p>
        </w:tc>
        <w:tc>
          <w:tcPr>
            <w:tcW w:w="494" w:type="dxa"/>
            <w:shd w:val="clear" w:color="auto" w:fill="CCFFCC"/>
            <w:vAlign w:val="center"/>
          </w:tcPr>
          <w:p>
            <w:pPr>
              <w:rPr>
                <w:bCs/>
                <w:kern w:val="0"/>
                <w:sz w:val="24"/>
              </w:rPr>
            </w:pPr>
            <w:r>
              <w:rPr>
                <w:bCs/>
                <w:kern w:val="0"/>
                <w:sz w:val="24"/>
              </w:rPr>
              <w:t>19119</w:t>
            </w:r>
          </w:p>
        </w:tc>
        <w:tc>
          <w:tcPr>
            <w:tcW w:w="514" w:type="dxa"/>
            <w:shd w:val="clear" w:color="auto" w:fill="CCFFCC"/>
            <w:vAlign w:val="center"/>
          </w:tcPr>
          <w:p>
            <w:pPr>
              <w:rPr>
                <w:bCs/>
                <w:kern w:val="0"/>
                <w:sz w:val="24"/>
              </w:rPr>
            </w:pPr>
            <w:r>
              <w:rPr>
                <w:bCs/>
                <w:kern w:val="0"/>
                <w:sz w:val="24"/>
              </w:rPr>
              <w:t>18909</w:t>
            </w:r>
          </w:p>
        </w:tc>
        <w:tc>
          <w:tcPr>
            <w:tcW w:w="531" w:type="dxa"/>
            <w:shd w:val="clear" w:color="auto" w:fill="CCFFCC"/>
            <w:vAlign w:val="center"/>
          </w:tcPr>
          <w:p>
            <w:pPr>
              <w:rPr>
                <w:bCs/>
                <w:kern w:val="0"/>
                <w:sz w:val="24"/>
              </w:rPr>
            </w:pPr>
            <w:bookmarkStart w:id="130" w:name="OLE_LINK34"/>
            <w:r>
              <w:rPr>
                <w:bCs/>
                <w:kern w:val="0"/>
                <w:sz w:val="24"/>
              </w:rPr>
              <w:t>19197</w:t>
            </w:r>
          </w:p>
        </w:tc>
        <w:tc>
          <w:tcPr>
            <w:tcW w:w="567" w:type="dxa"/>
            <w:shd w:val="clear" w:color="auto" w:fill="CCFFCC"/>
            <w:vAlign w:val="center"/>
          </w:tcPr>
          <w:p>
            <w:pPr>
              <w:rPr>
                <w:bCs/>
                <w:kern w:val="0"/>
                <w:sz w:val="24"/>
              </w:rPr>
            </w:pPr>
            <w:r>
              <w:rPr>
                <w:bCs/>
                <w:kern w:val="0"/>
                <w:sz w:val="24"/>
              </w:rPr>
              <w:t>19651</w:t>
            </w:r>
          </w:p>
        </w:tc>
        <w:tc>
          <w:tcPr>
            <w:tcW w:w="499" w:type="dxa"/>
            <w:shd w:val="clear" w:color="auto" w:fill="CCFFCC"/>
            <w:vAlign w:val="center"/>
          </w:tcPr>
          <w:p>
            <w:pPr>
              <w:rPr>
                <w:bCs/>
                <w:kern w:val="0"/>
                <w:sz w:val="24"/>
              </w:rPr>
            </w:pPr>
            <w:r>
              <w:rPr>
                <w:bCs/>
                <w:kern w:val="0"/>
                <w:sz w:val="24"/>
              </w:rPr>
              <w:t>20033</w:t>
            </w:r>
          </w:p>
          <w:bookmarkEnd w:id="130"/>
        </w:tc>
        <w:tc>
          <w:tcPr>
            <w:tcW w:w="567" w:type="dxa"/>
            <w:shd w:val="clear" w:color="auto" w:fill="CCFFCC"/>
            <w:vAlign w:val="center"/>
          </w:tcPr>
          <w:p>
            <w:pPr>
              <w:rPr>
                <w:bCs/>
                <w:kern w:val="0"/>
                <w:sz w:val="24"/>
              </w:rPr>
            </w:pPr>
            <w:bookmarkStart w:id="131" w:name="OLE_LINK35"/>
            <w:r>
              <w:rPr>
                <w:bCs/>
                <w:kern w:val="0"/>
                <w:sz w:val="24"/>
              </w:rPr>
              <w:t>19925</w:t>
            </w:r>
          </w:p>
        </w:tc>
        <w:tc>
          <w:tcPr>
            <w:tcW w:w="567" w:type="dxa"/>
            <w:shd w:val="clear" w:color="auto" w:fill="CCFFCC"/>
            <w:vAlign w:val="center"/>
          </w:tcPr>
          <w:p>
            <w:pPr>
              <w:rPr>
                <w:bCs/>
                <w:kern w:val="0"/>
                <w:sz w:val="24"/>
              </w:rPr>
            </w:pPr>
            <w:r>
              <w:rPr>
                <w:bCs/>
                <w:kern w:val="0"/>
                <w:sz w:val="24"/>
              </w:rPr>
              <w:t>19646</w:t>
            </w:r>
          </w:p>
        </w:tc>
        <w:tc>
          <w:tcPr>
            <w:tcW w:w="472" w:type="dxa"/>
            <w:shd w:val="clear" w:color="auto" w:fill="CCFFCC"/>
            <w:vAlign w:val="center"/>
          </w:tcPr>
          <w:p>
            <w:pPr>
              <w:rPr>
                <w:bCs/>
                <w:kern w:val="0"/>
                <w:sz w:val="24"/>
              </w:rPr>
            </w:pPr>
            <w:r>
              <w:rPr>
                <w:bCs/>
                <w:kern w:val="0"/>
                <w:sz w:val="24"/>
              </w:rPr>
              <w:t>20356</w:t>
            </w:r>
          </w:p>
          <w:bookmarkEnd w:id="131"/>
        </w:tc>
        <w:tc>
          <w:tcPr>
            <w:tcW w:w="567" w:type="dxa"/>
            <w:shd w:val="clear" w:color="auto" w:fill="CCFFCC"/>
            <w:vAlign w:val="center"/>
          </w:tcPr>
          <w:p>
            <w:pPr>
              <w:rPr>
                <w:bCs/>
                <w:kern w:val="0"/>
                <w:sz w:val="24"/>
              </w:rPr>
            </w:pPr>
            <w:r>
              <w:rPr>
                <w:bCs/>
                <w:kern w:val="0"/>
                <w:sz w:val="24"/>
              </w:rPr>
              <w:t>22012</w:t>
            </w:r>
          </w:p>
        </w:tc>
        <w:tc>
          <w:tcPr>
            <w:tcW w:w="567" w:type="dxa"/>
            <w:shd w:val="clear" w:color="auto" w:fill="CCFFCC"/>
            <w:vAlign w:val="center"/>
          </w:tcPr>
          <w:p>
            <w:pPr>
              <w:rPr>
                <w:bCs/>
                <w:kern w:val="0"/>
                <w:sz w:val="24"/>
              </w:rPr>
            </w:pPr>
            <w:r>
              <w:rPr>
                <w:bCs/>
                <w:kern w:val="0"/>
                <w:sz w:val="24"/>
              </w:rPr>
              <w:t>22725</w:t>
            </w:r>
          </w:p>
        </w:tc>
        <w:tc>
          <w:tcPr>
            <w:tcW w:w="567" w:type="dxa"/>
            <w:shd w:val="clear" w:color="auto" w:fill="CCFFCC"/>
            <w:vAlign w:val="center"/>
          </w:tcPr>
          <w:p>
            <w:pPr>
              <w:rPr>
                <w:bCs/>
                <w:kern w:val="0"/>
                <w:sz w:val="24"/>
              </w:rPr>
            </w:pPr>
            <w:r>
              <w:rPr>
                <w:bCs/>
                <w:kern w:val="0"/>
                <w:sz w:val="24"/>
              </w:rPr>
              <w:t>22765</w:t>
            </w:r>
          </w:p>
        </w:tc>
        <w:tc>
          <w:tcPr>
            <w:tcW w:w="516" w:type="dxa"/>
            <w:gridSpan w:val="2"/>
            <w:shd w:val="clear" w:color="auto" w:fill="CCFFCC"/>
            <w:vAlign w:val="center"/>
          </w:tcPr>
          <w:p>
            <w:pPr>
              <w:rPr>
                <w:bCs/>
                <w:kern w:val="0"/>
                <w:sz w:val="24"/>
              </w:rPr>
            </w:pPr>
            <w:r>
              <w:rPr>
                <w:bCs/>
                <w:kern w:val="0"/>
                <w:sz w:val="24"/>
              </w:rPr>
              <w:t>23098</w:t>
            </w:r>
          </w:p>
        </w:tc>
        <w:tc>
          <w:tcPr>
            <w:tcW w:w="464" w:type="dxa"/>
            <w:shd w:val="clear" w:color="auto" w:fill="CCFFCC"/>
            <w:vAlign w:val="center"/>
          </w:tcPr>
          <w:p>
            <w:pPr>
              <w:rPr>
                <w:bCs/>
                <w:kern w:val="0"/>
                <w:sz w:val="24"/>
              </w:rPr>
            </w:pPr>
            <w:r>
              <w:rPr>
                <w:bCs/>
                <w:kern w:val="0"/>
                <w:sz w:val="24"/>
              </w:rPr>
              <w:t>22068</w:t>
            </w:r>
          </w:p>
        </w:tc>
        <w:tc>
          <w:tcPr>
            <w:tcW w:w="494" w:type="dxa"/>
            <w:shd w:val="clear" w:color="auto" w:fill="CCFFCC"/>
            <w:vAlign w:val="center"/>
          </w:tcPr>
          <w:p>
            <w:pPr>
              <w:rPr>
                <w:bCs/>
                <w:kern w:val="0"/>
                <w:sz w:val="24"/>
              </w:rPr>
            </w:pPr>
            <w:r>
              <w:rPr>
                <w:bCs/>
                <w:kern w:val="0"/>
                <w:sz w:val="24"/>
              </w:rPr>
              <w:t>21454</w:t>
            </w:r>
          </w:p>
        </w:tc>
      </w:tr>
    </w:tbl>
    <w:p>
      <w:pPr>
        <w:rPr>
          <w:bCs/>
          <w:kern w:val="0"/>
          <w:sz w:val="24"/>
        </w:rPr>
      </w:pPr>
      <w:r>
        <w:rPr>
          <w:bCs/>
          <w:kern w:val="0"/>
          <w:sz w:val="24"/>
        </w:rPr>
        <w:t> </w:t>
      </w:r>
    </w:p>
    <w:p>
      <w:pPr>
        <w:rPr>
          <w:bCs/>
          <w:kern w:val="0"/>
          <w:sz w:val="24"/>
        </w:rPr>
      </w:pPr>
      <w:r>
        <w:rPr>
          <w:bCs/>
          <w:kern w:val="0"/>
          <w:sz w:val="24"/>
        </w:rPr>
        <w:t>Sources: Statistical Bureaus and Central Banks of the Relevant Economies.</w:t>
      </w:r>
    </w:p>
    <w:p>
      <w:pPr>
        <w:rPr>
          <w:bCs/>
          <w:kern w:val="0"/>
          <w:sz w:val="24"/>
        </w:rPr>
      </w:pPr>
    </w:p>
    <w:p>
      <w:pPr>
        <w:rPr>
          <w:b/>
          <w:bCs/>
          <w:kern w:val="0"/>
          <w:sz w:val="24"/>
        </w:rPr>
      </w:pPr>
      <w:r>
        <w:rPr>
          <w:b/>
          <w:bCs/>
          <w:kern w:val="0"/>
          <w:sz w:val="24"/>
        </w:rPr>
        <w:t>2. Developments in Global Financial Markets</w:t>
      </w:r>
    </w:p>
    <w:p>
      <w:pPr>
        <w:rPr>
          <w:bCs/>
          <w:kern w:val="0"/>
          <w:sz w:val="24"/>
        </w:rPr>
      </w:pPr>
      <w:r>
        <w:rPr>
          <w:bCs/>
          <w:kern w:val="0"/>
          <w:sz w:val="24"/>
        </w:rPr>
        <w:t>Volatility increased in global financial markets as compared with the last year. In Q1, the USD Index continued its losing streak, depreciating against the currencies of the major advanced economies and some emerging market economies to varying degrees. Uncertainties arising from trade policies triggered large swings in the U.S. stock market. Major global stock indices dropped amid fluctuations.</w:t>
      </w:r>
    </w:p>
    <w:p>
      <w:pPr>
        <w:rPr>
          <w:bCs/>
          <w:kern w:val="0"/>
          <w:sz w:val="24"/>
        </w:rPr>
      </w:pPr>
    </w:p>
    <w:p>
      <w:pPr>
        <w:rPr>
          <w:bCs/>
          <w:kern w:val="0"/>
          <w:sz w:val="24"/>
        </w:rPr>
      </w:pPr>
      <w:r>
        <w:rPr>
          <w:bCs/>
          <w:kern w:val="0"/>
          <w:sz w:val="24"/>
        </w:rPr>
        <w:t>The USD Index continued to weaken, as the euro, the British pound, and the Japanese yen appreciated against the dollar, whereas exchange-rate movements in the emerging market economies were mixed. As of end-March, the USD Index closed at 89.98, losing 2.51 percent from end-2017. The Japanese yen was at 106.26 yen per USD, strengthening 6.03 percent from the end of the last year. The exchange rate of the euro against the USD closed at USD 1.2321 per euro, appreciating 2.71 percent compared with end-2017. The British pound stood at USD 1.4015 per pound, appreciating 3.72 percent compared with the end of the last year. </w:t>
      </w:r>
    </w:p>
    <w:p>
      <w:pPr>
        <w:rPr>
          <w:bCs/>
          <w:kern w:val="0"/>
          <w:sz w:val="24"/>
        </w:rPr>
      </w:pPr>
    </w:p>
    <w:p>
      <w:pPr>
        <w:rPr>
          <w:bCs/>
          <w:kern w:val="0"/>
          <w:sz w:val="24"/>
        </w:rPr>
      </w:pPr>
      <w:r>
        <w:rPr>
          <w:bCs/>
          <w:kern w:val="0"/>
          <w:sz w:val="24"/>
        </w:rPr>
        <w:t>Among the emerging market currencies, compared with end-2017 the Russian ruble, the Brazilian real, and the Mexican peso appreciated by 0.94 percent, 0.23 percent, and 8.25 percent, respectively, against the USD, whereas the Indian rupee and the Turkish lira depreciated by 1.97 percent and 4.18 percent, respectively, against the USD. Since late April, as expectations of interest-rate hikes by the Fed were heightened, the yield of 10-year U.S. Treasuries went up, and the USD Index continued to rebound, exceeding 93 by May 8.</w:t>
      </w:r>
    </w:p>
    <w:p>
      <w:pPr>
        <w:rPr>
          <w:bCs/>
          <w:kern w:val="0"/>
          <w:sz w:val="24"/>
        </w:rPr>
      </w:pPr>
    </w:p>
    <w:p>
      <w:pPr>
        <w:rPr>
          <w:bCs/>
          <w:kern w:val="0"/>
          <w:sz w:val="24"/>
        </w:rPr>
      </w:pPr>
      <w:r>
        <w:rPr>
          <w:bCs/>
          <w:kern w:val="0"/>
          <w:sz w:val="24"/>
        </w:rPr>
        <w:t>Global money-market rates continued to diverge. The USD Libor went up slightly, whereas the Euribor moved downwards. Due to interest-rate hikes by the Fed, the USD Libor rose slightly. As of March 29, the 1-year USD Libor was 2.6626 percent, an increase of 56 basis points (bps) compared to the end of the last year. The Euribor declined further, as the European Central Bank (ECB) continued its accommodative monetary policy. As of March 29, the 1-year Euribor registered –0.19 percent, a decrease of 0.4 bp from end-2017.</w:t>
      </w:r>
    </w:p>
    <w:p>
      <w:pPr>
        <w:rPr>
          <w:bCs/>
          <w:kern w:val="0"/>
          <w:sz w:val="24"/>
        </w:rPr>
      </w:pPr>
    </w:p>
    <w:p>
      <w:pPr>
        <w:rPr>
          <w:bCs/>
          <w:kern w:val="0"/>
          <w:sz w:val="24"/>
        </w:rPr>
      </w:pPr>
      <w:r>
        <w:rPr>
          <w:bCs/>
          <w:kern w:val="0"/>
          <w:sz w:val="24"/>
        </w:rPr>
        <w:t>The yields of government bonds in the U.S. and the UK increased somewhat. As of end-March, the yields of 10-year U.S. Treasuries and UK and German government bonds closed at 2.744 percent, 1.351 percent, and 0.494 percent, up 33.3 bps, 16.3 bps, and 7 bps, respectively, compared with the end of 2017. The yields of 10-year Japanese and French government bonds closed at 0.046 percent and 0.729 percent, retreating 0.4 bp and 5.6 bps, respectively, from end-2017. Among the emerging market economies, the yields of 10-year Russian, Brazilian, and Mexican government bonds lost 54 bps, 81.5 bps, and 39 bps, respectively, compared with the end of the last year, whereas the yields of 10-year Indian and Turkish government bonds went up 7.2 bps and 76 bps, respectively.</w:t>
      </w:r>
    </w:p>
    <w:p>
      <w:pPr>
        <w:rPr>
          <w:bCs/>
          <w:kern w:val="0"/>
          <w:sz w:val="24"/>
        </w:rPr>
      </w:pPr>
    </w:p>
    <w:p>
      <w:pPr>
        <w:rPr>
          <w:bCs/>
          <w:kern w:val="0"/>
          <w:sz w:val="24"/>
        </w:rPr>
      </w:pPr>
      <w:r>
        <w:rPr>
          <w:bCs/>
          <w:kern w:val="0"/>
          <w:sz w:val="24"/>
        </w:rPr>
        <w:t>Stock-market volatility increased in the major economies. As of end-March, the U.S. Dow Jones Industrial Average, the German DAX, the Japanese Nikkei 225, the euro area’s STOXX 50, and the UK FTSE 100 tumbled 2.49 percent, 6.35 percent, 5.76 percent, 4.07 percent, and 8.21 percent, respectively, over the end of 2017. Among the emerging market economies, the stock indices in Russia and Brazil gained 8.23 percent and 11.73 percent, while those in India, Turkey, and Mexico dropped 3.2 percent, 1.4 percent, and 6.54 percent, respectively.</w:t>
      </w:r>
    </w:p>
    <w:p>
      <w:pPr>
        <w:rPr>
          <w:bCs/>
          <w:kern w:val="0"/>
          <w:sz w:val="24"/>
        </w:rPr>
      </w:pPr>
    </w:p>
    <w:p>
      <w:pPr>
        <w:rPr>
          <w:bCs/>
          <w:kern w:val="0"/>
          <w:sz w:val="24"/>
        </w:rPr>
      </w:pPr>
      <w:r>
        <w:rPr>
          <w:bCs/>
          <w:kern w:val="0"/>
          <w:sz w:val="24"/>
        </w:rPr>
        <w:t>International commodity prices saw a broad-based gain. In Q1, the average price of Brent crude oil futures on the Intercontinental Exchange jumped 23.2 percent year on year and 9.4 percent quarter on quarter. The average spot price of copper and aluminum on the London Metal Exchange added 19.2 percent and 16.3 percent, respectively, year on year, rising 2.0 percent and 2.4 percent quarter on quarter.</w:t>
      </w:r>
    </w:p>
    <w:p>
      <w:pPr>
        <w:rPr>
          <w:bCs/>
          <w:kern w:val="0"/>
          <w:sz w:val="24"/>
        </w:rPr>
      </w:pPr>
      <w:r>
        <w:rPr>
          <w:bCs/>
          <w:kern w:val="0"/>
          <w:sz w:val="24"/>
        </w:rPr>
        <w:t> </w:t>
      </w:r>
    </w:p>
    <w:p>
      <w:pPr>
        <w:rPr>
          <w:b/>
          <w:bCs/>
          <w:kern w:val="0"/>
          <w:sz w:val="24"/>
        </w:rPr>
      </w:pPr>
      <w:r>
        <w:rPr>
          <w:b/>
          <w:bCs/>
          <w:kern w:val="0"/>
          <w:sz w:val="24"/>
        </w:rPr>
        <w:t>3. Monetary Policies in the Major Economies</w:t>
      </w:r>
    </w:p>
    <w:p>
      <w:r>
        <w:rPr>
          <w:bCs/>
          <w:kern w:val="0"/>
          <w:sz w:val="24"/>
        </w:rPr>
        <w:t xml:space="preserve">The U.S. Fed continued its monetary-policy normalization, whereas the ECB, BOE, and BOJ maintained their monetary easing. On March 21, the Fed raised the federal funds rate by 25 bps to the 1.50–1.75 percent range, kept the median rate forecast at 2.1 percent for end-2018, but revised it up to 2.9 percent and 3.4 percent, respectively, for end-2019 and end-2020 as it continued to unwind. The decreasing cap for Treasury securities was increased from USD 12 billion in March to USD 18 billion in April, and that for agency debt and mortgage-backed securities (MBS) increased from USD 8 billion to USD 12 billion. At the interest-rate meeting on May 2, the Fed decided to keep the fed rate unchanged at between 1.5 percent and 1.75 percent </w:t>
      </w:r>
    </w:p>
    <w:p>
      <w:pPr>
        <w:rPr>
          <w:bCs/>
          <w:kern w:val="0"/>
          <w:sz w:val="24"/>
        </w:rPr>
      </w:pPr>
    </w:p>
    <w:p>
      <w:pPr>
        <w:rPr>
          <w:bCs/>
          <w:kern w:val="0"/>
          <w:sz w:val="24"/>
        </w:rPr>
      </w:pPr>
      <w:r>
        <w:rPr>
          <w:bCs/>
          <w:kern w:val="0"/>
          <w:sz w:val="24"/>
        </w:rPr>
        <w:t>On January 25, March 8, and April 26, the ECB decided to keep the interest rates on the main refinancing operations (MROs), the marginal lending facility, and the deposit facility unchanged at 0.00 percent, 0.25 percent, and –0.40 percent. It will maintain its monthly asset-purchase program of EUR 30 billion until September 2018. In its March statement, the ECB deleted its previous language, which was should economic prospects worsen or if financial conditions cannot warrant continuous inflation adjustments, the ECB stands ready to scale up asset purchases and if necessary extend them, and it revised up the GDP growth forecast for 2018 to 2.4 percent, while keeping the forecasts for 2019 and 2020 unchanged at 1.9 percent and 1.7 percent, respectively.</w:t>
      </w:r>
    </w:p>
    <w:p>
      <w:pPr>
        <w:rPr>
          <w:bCs/>
          <w:kern w:val="0"/>
          <w:sz w:val="24"/>
        </w:rPr>
      </w:pPr>
    </w:p>
    <w:p>
      <w:pPr>
        <w:rPr>
          <w:bCs/>
          <w:kern w:val="0"/>
          <w:sz w:val="24"/>
        </w:rPr>
      </w:pPr>
      <w:r>
        <w:rPr>
          <w:bCs/>
          <w:kern w:val="0"/>
          <w:sz w:val="24"/>
        </w:rPr>
        <w:t>On January 23, March 9, and April 27, the BOJ decided to continue with its negative interest rate, maintain the size of asset purchases, and keep the yield of 10-year government bonds near zero through yield curve controls.      </w:t>
      </w:r>
    </w:p>
    <w:p>
      <w:pPr>
        <w:rPr>
          <w:bCs/>
          <w:kern w:val="0"/>
          <w:sz w:val="24"/>
        </w:rPr>
      </w:pPr>
    </w:p>
    <w:p>
      <w:pPr>
        <w:rPr>
          <w:bCs/>
          <w:kern w:val="0"/>
          <w:sz w:val="24"/>
        </w:rPr>
      </w:pPr>
      <w:r>
        <w:rPr>
          <w:bCs/>
          <w:kern w:val="0"/>
          <w:sz w:val="24"/>
        </w:rPr>
        <w:t>On February 7, March 21, and May 9, the BOE decided to keep the benchmark rate on hold at 0.50 percent and to maintain the scale of sterling non-financial investment-grade corporate bond purchases at GBP 10 billion and that of UK government bond purchases at GBP 435 billion. </w:t>
      </w:r>
    </w:p>
    <w:p>
      <w:pPr>
        <w:rPr>
          <w:bCs/>
          <w:kern w:val="0"/>
          <w:sz w:val="24"/>
        </w:rPr>
      </w:pPr>
    </w:p>
    <w:p>
      <w:pPr>
        <w:rPr>
          <w:bCs/>
          <w:kern w:val="0"/>
          <w:sz w:val="24"/>
        </w:rPr>
      </w:pPr>
      <w:r>
        <w:rPr>
          <w:bCs/>
          <w:kern w:val="0"/>
          <w:sz w:val="24"/>
        </w:rPr>
        <w:t>The emerging market economies continued to adopt different monetary-policy stances. Given the stabilizing and lower-than-target inflation and in an attempt to boost economic growth, the Central Bank of Brazil cut its policy rate twice, on February 8 and March 21, by a total of 50 bps to 6.5 percent, and the Central Bank of the Russian Federation lowered its key rate on February 9 and March 23, each time by 25 bps, to 7.25 percent. In view of the upbeat economic performance and with inflation anchored around the target of 4 percent, the Reserve Bank of India on February 6 and April 5 kept the repo rate on hold at 6 percent. To address the peso depreciation, capital outflows, and inflationary pressures, the Banco de Mexico raised the overnight interest-rate target on February 8 by 25 bps to 7.5 percent. As a countermeasure against the risks of a huge exchange-rate depreciation and capital outflows, the Central Bank of Argentina increased the policy interest rate on April 27, May 3, and May 4 by 300 bps, 300 bps, and 675 bps to 40 percent, along with capital flow management measures. </w:t>
      </w:r>
    </w:p>
    <w:p>
      <w:pPr>
        <w:rPr>
          <w:bCs/>
          <w:kern w:val="0"/>
          <w:sz w:val="24"/>
        </w:rPr>
      </w:pPr>
    </w:p>
    <w:p>
      <w:pPr>
        <w:rPr>
          <w:b/>
          <w:bCs/>
          <w:kern w:val="0"/>
          <w:sz w:val="24"/>
        </w:rPr>
      </w:pPr>
      <w:r>
        <w:rPr>
          <w:b/>
          <w:bCs/>
          <w:kern w:val="0"/>
          <w:sz w:val="24"/>
        </w:rPr>
        <w:t>4. The Global Economic Outlook and Key Risks</w:t>
      </w:r>
    </w:p>
    <w:p>
      <w:pPr>
        <w:rPr>
          <w:bCs/>
          <w:kern w:val="0"/>
          <w:sz w:val="24"/>
        </w:rPr>
      </w:pPr>
      <w:r>
        <w:rPr>
          <w:bCs/>
          <w:kern w:val="0"/>
          <w:sz w:val="24"/>
        </w:rPr>
        <w:t xml:space="preserve">In its updated April 2018 </w:t>
      </w:r>
      <w:r>
        <w:rPr>
          <w:bCs/>
          <w:i/>
          <w:kern w:val="0"/>
          <w:sz w:val="24"/>
        </w:rPr>
        <w:t>World Economic Outlook</w:t>
      </w:r>
      <w:r>
        <w:rPr>
          <w:bCs/>
          <w:kern w:val="0"/>
          <w:sz w:val="24"/>
        </w:rPr>
        <w:t>, the International Monetary Fund (IMF) maintained its January forecast for global economic growth, which is 3.9 percent for both 2018 and 2019. In particular, the 2018 growth forecast for the advanced economies was revised upwards, while that for the emerging market and developing economies remained unchanged. Looking ahead, despite broadly positive prospects for the global economy, a number of uncertainties and destabilizing factors still require attention.</w:t>
      </w:r>
    </w:p>
    <w:p>
      <w:pPr>
        <w:rPr>
          <w:bCs/>
          <w:kern w:val="0"/>
          <w:sz w:val="24"/>
        </w:rPr>
      </w:pPr>
    </w:p>
    <w:p>
      <w:pPr>
        <w:rPr>
          <w:bCs/>
          <w:kern w:val="0"/>
          <w:sz w:val="24"/>
        </w:rPr>
      </w:pPr>
      <w:r>
        <w:rPr>
          <w:bCs/>
          <w:kern w:val="0"/>
          <w:sz w:val="24"/>
        </w:rPr>
        <w:t>First, protectionism, unilateralism, and de-globalization have escalated global trade frictions, becoming a major risk to global economic growth. As global industrial structures and financial systems have become interconnected under economic globalization, the escalation of trade frictions will take a toll on trade in goods and services in most parts of the world. This may constrain demand and push up inflation, which will weigh down on growth or even pose greater macroeconomic risks.  </w:t>
      </w:r>
    </w:p>
    <w:p>
      <w:pPr>
        <w:rPr>
          <w:bCs/>
          <w:kern w:val="0"/>
          <w:sz w:val="24"/>
        </w:rPr>
      </w:pPr>
    </w:p>
    <w:p>
      <w:pPr>
        <w:rPr>
          <w:bCs/>
          <w:kern w:val="0"/>
          <w:sz w:val="24"/>
        </w:rPr>
      </w:pPr>
      <w:r>
        <w:rPr>
          <w:bCs/>
          <w:kern w:val="0"/>
          <w:sz w:val="24"/>
        </w:rPr>
        <w:t>Second, uncertainties about the Fed’s monetary policies have grown, including the pace of the rate hikes. No consensus has been reached regarding the future development of inflation expectations in the U.S. Tax reforms, infrastructure development plans, and escalating trade frictions have all added to the uncertainties. Given that the U.S. is close to full employment, the massive fiscal stimulus may stoke inflation. Further escalations of trade frictions and unexpected inflation developments will both affect the pace of policy normalization by the Fed.  </w:t>
      </w:r>
    </w:p>
    <w:p>
      <w:pPr>
        <w:rPr>
          <w:bCs/>
          <w:kern w:val="0"/>
          <w:sz w:val="24"/>
        </w:rPr>
      </w:pPr>
    </w:p>
    <w:p>
      <w:pPr>
        <w:rPr>
          <w:bCs/>
          <w:kern w:val="0"/>
          <w:sz w:val="24"/>
        </w:rPr>
      </w:pPr>
      <w:r>
        <w:rPr>
          <w:bCs/>
          <w:kern w:val="0"/>
          <w:sz w:val="24"/>
        </w:rPr>
        <w:t>Third, risks from global financial-market volatility have heightened. The upbeat recovery in the major advanced economies and the eased liquidity conditions have pushed up asset prices to historical highs, along with increasing financial vulnerabilities. Once the tightening of global liquidity is faster than market expectations, this may cause swings in asset prices and trigger a contraction phase in the financial cycle. Since the start of 2018, bouts of stock-market swings in the U.S. have sent repercussions across global equity markets. This partly reflects the problem of asset valuation under the previous accommodative monetary policies and the interconnectedness of global financial markets.</w:t>
      </w:r>
    </w:p>
    <w:p>
      <w:pPr>
        <w:rPr>
          <w:bCs/>
          <w:kern w:val="0"/>
          <w:sz w:val="24"/>
        </w:rPr>
      </w:pPr>
    </w:p>
    <w:p>
      <w:pPr>
        <w:rPr>
          <w:bCs/>
          <w:kern w:val="0"/>
          <w:sz w:val="24"/>
        </w:rPr>
      </w:pPr>
      <w:r>
        <w:rPr>
          <w:bCs/>
          <w:kern w:val="0"/>
          <w:sz w:val="24"/>
        </w:rPr>
        <w:t>Fourth, medium and long-term growth still faces a number of structural challenges. On the one hand, high leverage ratios and heavy debt burdens may put a drag on consumption and investment growth, aggravate income disparities, and add to potential economic and financial risks. On the other hand, medium and long-term structural problems persist, such as an aging population, slower productivity gains, and higher policy uncertainties, all of which may also constrain economic growth. </w:t>
      </w:r>
    </w:p>
    <w:p>
      <w:pPr>
        <w:rPr>
          <w:bCs/>
          <w:kern w:val="0"/>
          <w:sz w:val="24"/>
        </w:rPr>
      </w:pPr>
    </w:p>
    <w:p>
      <w:pPr>
        <w:rPr>
          <w:bCs/>
          <w:kern w:val="0"/>
          <w:sz w:val="24"/>
        </w:rPr>
      </w:pPr>
      <w:r>
        <w:rPr>
          <w:bCs/>
          <w:kern w:val="0"/>
          <w:sz w:val="24"/>
        </w:rPr>
        <w:t>In addition, geopolitical tensions have occurred in numerous places, and risk factors and uncertainties have been growing at a rapid pace, exerting a greater impact on the global economy and financial markets. In addition, risks from new technologies such as Fintech should not be neglected as they may pose additional challenges to global financial regulation and supervision. </w:t>
      </w:r>
    </w:p>
    <w:p>
      <w:pPr>
        <w:rPr>
          <w:bCs/>
          <w:kern w:val="0"/>
          <w:sz w:val="24"/>
        </w:rPr>
      </w:pPr>
    </w:p>
    <w:p>
      <w:pPr>
        <w:pStyle w:val="3"/>
        <w:keepLines w:val="0"/>
        <w:widowControl/>
        <w:spacing w:before="0" w:after="0"/>
        <w:ind w:firstLine="0" w:firstLineChars="0"/>
        <w:rPr>
          <w:rFonts w:ascii="Times New Roman" w:hAnsi="Times New Roman"/>
          <w:iCs/>
          <w:kern w:val="0"/>
          <w:sz w:val="24"/>
          <w:szCs w:val="24"/>
          <w:lang w:eastAsia="zh-TW"/>
        </w:rPr>
      </w:pPr>
      <w:bookmarkStart w:id="132" w:name="_Toc517190520"/>
      <w:r>
        <w:rPr>
          <w:rFonts w:ascii="Times New Roman" w:hAnsi="Times New Roman"/>
          <w:iCs/>
          <w:kern w:val="0"/>
          <w:sz w:val="24"/>
          <w:szCs w:val="24"/>
          <w:lang w:eastAsia="zh-TW"/>
        </w:rPr>
        <w:t>II. Macro-economic Developments in China</w:t>
      </w:r>
      <w:bookmarkEnd w:id="132"/>
    </w:p>
    <w:p>
      <w:pPr>
        <w:rPr>
          <w:bCs/>
          <w:kern w:val="0"/>
          <w:sz w:val="24"/>
        </w:rPr>
      </w:pPr>
    </w:p>
    <w:p>
      <w:pPr>
        <w:rPr>
          <w:bCs/>
          <w:kern w:val="0"/>
          <w:sz w:val="24"/>
        </w:rPr>
      </w:pPr>
      <w:r>
        <w:rPr>
          <w:bCs/>
          <w:kern w:val="0"/>
          <w:sz w:val="24"/>
        </w:rPr>
        <w:t>In the first quarter of 2018, the Chinese economy registered a good start as aggregate supply and demand became more balanced due to support from steady progress in economic upgrading, stable overall industrial production, and further expansion in the share of value-added from tertiary industry. Consumption remained a strong growth driver and private-investment growth recovered while the trade surplus narrowed. Consumer prices rose at a moderate pace and employment was generally stable. Preliminary estimates showed that GDP recorded RMB 19.88 trillion in the first quarter, up 6.8 percent year on year in comparable terms. The CPI went up 2.1 percent year on year. The trade surplus was RMB 326.2 billion.</w:t>
      </w:r>
    </w:p>
    <w:p>
      <w:pPr>
        <w:rPr>
          <w:bCs/>
          <w:kern w:val="0"/>
          <w:sz w:val="24"/>
        </w:rPr>
      </w:pPr>
    </w:p>
    <w:p>
      <w:pPr>
        <w:rPr>
          <w:b/>
          <w:bCs/>
          <w:kern w:val="0"/>
          <w:sz w:val="24"/>
        </w:rPr>
      </w:pPr>
      <w:r>
        <w:rPr>
          <w:b/>
          <w:bCs/>
          <w:kern w:val="0"/>
          <w:sz w:val="24"/>
        </w:rPr>
        <w:t>1. Consumption growth was stable, investment growth moderated, while the trade surplus narrowed</w:t>
      </w:r>
    </w:p>
    <w:p>
      <w:pPr>
        <w:rPr>
          <w:b/>
          <w:bCs/>
          <w:kern w:val="0"/>
          <w:sz w:val="24"/>
        </w:rPr>
      </w:pPr>
    </w:p>
    <w:p>
      <w:pPr>
        <w:rPr>
          <w:bCs/>
          <w:kern w:val="0"/>
          <w:sz w:val="24"/>
        </w:rPr>
      </w:pPr>
      <w:r>
        <w:rPr>
          <w:bCs/>
          <w:kern w:val="0"/>
          <w:sz w:val="24"/>
        </w:rPr>
        <w:t>Consumption contributed more to economic growth as household income grew steadily and online consumption spending accelerated. In the first quarter, per capita disposable income registered RMB 7,815, up 8.8 percent on a year-on-year basis, or 6.6 percent in real terms. The per capita disposable income of rural residents grew 6.8 percent in real terms, outpacing that of urban residents by 1.1 percentage points. According to the Q1 Urban Depositors’ Survey conducted by the People’s Bank of China, willingness to consume was stable, with 24.8 percent of consumers inclined to consume more, which was 1.0 percentage point higher year on year. Final consumption expenditures contributed 77.8 percent to GDP growth in the first quarter, up by 0.6 percentage point year on year. Retail sales grew by 9.8 percent year on year to RMB 9.03 trillion. Online retail sales recorded a strong expansion of 35.4 percent in the first quarter, up by 3.3 percentage points over growth during the same period of the last year.</w:t>
      </w:r>
    </w:p>
    <w:p>
      <w:pPr>
        <w:rPr>
          <w:bCs/>
          <w:kern w:val="0"/>
          <w:sz w:val="24"/>
        </w:rPr>
      </w:pPr>
    </w:p>
    <w:p>
      <w:pPr>
        <w:rPr>
          <w:bCs/>
          <w:kern w:val="0"/>
          <w:sz w:val="24"/>
        </w:rPr>
      </w:pPr>
      <w:r>
        <w:rPr>
          <w:bCs/>
          <w:kern w:val="0"/>
          <w:sz w:val="24"/>
        </w:rPr>
        <w:t>Fixed-asset investment growth slowed down notwithstanding a recovery in private- investment growth. In the first quarter, fixed-asset investments (excluding those by rural households) reached RMB 10.08 trillion, up 7.5 percent year on year, which was 1.7 percentage points lower than that during the same period of the last year. A number of the following patterns were evident. First, private-investment growth has recovered, with quarterly growth of 8.9 percent year on year, which is 1.2 percentage points higher than that during the same period of the last year. Second, investment in high-tech manufacturing continued its strong growth, expanding at 7.9 percent, leading overall investment growth by 0.4 percentage point. Third, infrastructure investment growth was weaker as quarterly growth moderated to 13.0 percent year on year, a deceleration of 10.5 percentage points from growth during the first quarter in 2017. Fourth, investment growth in the central and western regions strengthened, with the quarterly year-on-year rate at 10.2 percent and 9.4 percent, respectively, outpacing investment in the eastern region by 4.2 percentage points and 3.4 percentage points.</w:t>
      </w:r>
    </w:p>
    <w:p>
      <w:pPr>
        <w:rPr>
          <w:bCs/>
          <w:kern w:val="0"/>
          <w:sz w:val="24"/>
        </w:rPr>
      </w:pPr>
    </w:p>
    <w:p>
      <w:pPr>
        <w:rPr>
          <w:bCs/>
          <w:kern w:val="0"/>
          <w:sz w:val="24"/>
        </w:rPr>
      </w:pPr>
      <w:r>
        <w:rPr>
          <w:bCs/>
          <w:kern w:val="0"/>
          <w:sz w:val="24"/>
        </w:rPr>
        <w:t>Imports and exports grew rapidly and the trade surplus narrowed as the external trade structure continued to improve. Quarterly imports and exports reached RMB 6.75 trillion, up 9.4 percent year on year. Among this, exports expanded 7.4 percent year on year to RMB 3.54 trillion, and imports grew 11.7 percent year on year to RMB 3.21 trillion, narrowing the trade surplus at RMB 326.2 billion, which was down 21.8 percent year on year. In USD terms, the first quarter saw year-on-year growth of 14.0 percent in exports and 18.9 percent in imports, with a trade surplus at USD 48.39 billion. The external trade structure was improved, supported by an expansion in general trade, trade in machinery and electronics, as well as in external trade by private companies. General trade contributed 58.3 percent to total exports and imports during the first quarter, an increase of 2.0 percentage points year on year. Exports of machinery and electronics went up by 1.3 percentage points as a share of total exports. Exports and imports by private companies constituted 38.3 percent of total exports and imports, representing a year-on-year increase of 1.7 percentage points. Imports from and exports to countries covered by the Belt and Road Initiative continued to grow at a strong pace. In particular, imports from and exports to Russia, Poland, and Kazakhstan grew 20.5 percent, 16.6 percent, and 16.2 percent, respectively.</w:t>
      </w:r>
    </w:p>
    <w:p>
      <w:pPr>
        <w:rPr>
          <w:bCs/>
          <w:kern w:val="0"/>
          <w:sz w:val="24"/>
        </w:rPr>
      </w:pPr>
    </w:p>
    <w:p>
      <w:pPr>
        <w:keepNext/>
        <w:rPr>
          <w:b/>
          <w:bCs/>
          <w:color w:val="000000" w:themeColor="text1"/>
          <w:kern w:val="0"/>
          <w:sz w:val="24"/>
        </w:rPr>
      </w:pPr>
      <w:bookmarkStart w:id="133" w:name="_Toc517190902"/>
      <w:r>
        <w:rPr>
          <w:b/>
          <w:bCs/>
          <w:color w:val="000000" w:themeColor="text1"/>
          <w:kern w:val="0"/>
          <w:sz w:val="24"/>
        </w:rPr>
        <w:t xml:space="preserve">Figure </w:t>
      </w:r>
      <w:r>
        <w:rPr>
          <w:b/>
          <w:bCs/>
          <w:color w:val="000000" w:themeColor="text1"/>
          <w:kern w:val="0"/>
          <w:sz w:val="24"/>
        </w:rPr>
        <w:fldChar w:fldCharType="begin"/>
      </w:r>
      <w:r>
        <w:rPr>
          <w:b/>
          <w:bCs/>
          <w:color w:val="000000" w:themeColor="text1"/>
          <w:kern w:val="0"/>
          <w:sz w:val="24"/>
        </w:rPr>
        <w:instrText xml:space="preserve"> SEQ Figure \* ARABIC </w:instrText>
      </w:r>
      <w:r>
        <w:rPr>
          <w:b/>
          <w:bCs/>
          <w:color w:val="000000" w:themeColor="text1"/>
          <w:kern w:val="0"/>
          <w:sz w:val="24"/>
        </w:rPr>
        <w:fldChar w:fldCharType="separate"/>
      </w:r>
      <w:r>
        <w:rPr>
          <w:b/>
          <w:bCs/>
          <w:color w:val="000000" w:themeColor="text1"/>
          <w:kern w:val="0"/>
          <w:sz w:val="24"/>
        </w:rPr>
        <w:t>4</w:t>
      </w:r>
      <w:r>
        <w:rPr>
          <w:b/>
          <w:bCs/>
          <w:color w:val="000000" w:themeColor="text1"/>
          <w:kern w:val="0"/>
          <w:sz w:val="24"/>
        </w:rPr>
        <w:fldChar w:fldCharType="end"/>
      </w:r>
      <w:r>
        <w:rPr>
          <w:b/>
          <w:bCs/>
          <w:color w:val="000000" w:themeColor="text1"/>
          <w:kern w:val="0"/>
          <w:sz w:val="24"/>
        </w:rPr>
        <w:t>. Import and Export Growth and the Trade Balance</w:t>
      </w:r>
      <w:bookmarkEnd w:id="133"/>
    </w:p>
    <w:p>
      <w:pPr>
        <w:rPr>
          <w:bCs/>
          <w:kern w:val="0"/>
          <w:sz w:val="24"/>
        </w:rPr>
      </w:pPr>
      <w:r>
        <w:rPr>
          <w:bCs/>
          <w:kern w:val="0"/>
          <w:sz w:val="24"/>
        </w:rPr>
        <w:drawing>
          <wp:inline distT="0" distB="0" distL="0" distR="0">
            <wp:extent cx="5274310" cy="2885440"/>
            <wp:effectExtent l="0" t="0" r="0" b="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bCs/>
          <w:kern w:val="0"/>
          <w:sz w:val="24"/>
        </w:rPr>
      </w:pPr>
      <w:r>
        <w:rPr>
          <w:bCs/>
          <w:kern w:val="0"/>
          <w:sz w:val="24"/>
        </w:rPr>
        <w:t> </w:t>
      </w:r>
    </w:p>
    <w:p>
      <w:pPr>
        <w:rPr>
          <w:bCs/>
          <w:kern w:val="0"/>
          <w:sz w:val="24"/>
        </w:rPr>
      </w:pPr>
      <w:r>
        <w:rPr>
          <w:bCs/>
          <w:kern w:val="0"/>
          <w:sz w:val="24"/>
        </w:rPr>
        <w:t>Source: General Administration of Customs.</w:t>
      </w:r>
    </w:p>
    <w:p>
      <w:pPr>
        <w:rPr>
          <w:bCs/>
          <w:kern w:val="0"/>
          <w:sz w:val="24"/>
        </w:rPr>
      </w:pPr>
    </w:p>
    <w:p>
      <w:pPr>
        <w:rPr>
          <w:bCs/>
          <w:kern w:val="0"/>
          <w:sz w:val="24"/>
        </w:rPr>
      </w:pPr>
      <w:r>
        <w:rPr>
          <w:bCs/>
          <w:kern w:val="0"/>
          <w:sz w:val="24"/>
        </w:rPr>
        <w:t>Foreign direct investments (FDI) continued to flow into high-end industries, while outbound investments improved further in terms of the composition of the destination industries. During the first quarter, the number of newly established foreign-funded companies increased 124.7 percent year on year to 14,340, with actually utilized FDI rising 0.5 percent to RMB 227.54 billion. Broken down by industries, actually utilized FDI in high-tech manufacturing grew 66.0 percent to RMB 22.49 billion, and that in high-tech services recorded RMB 21.47 billion, including a year-on-year increase of 25.6 percent in R&amp;D and design. In terms of key FDI sources, actually utilized FDI from the ASEAN countries grew 79.1 percent year on year, and that from countries covered by the Belt and Road Initiative expanded 76.0 percent. Non-financial outbound direct investments registered USD 25.5 billion in the first three months, up 24.1 percent year on year. Outbound direct investments to 52 countries covered by the Belt and Road Initiative grew 22.4 percent year on year to USD 3.61 billion, accounting for 14.2 percent of the total outbound direct investments in the first quarter. The sectoral structure of outbound investments was further optimized as irrational outward investment activities were effectively constrained, with outbound investments focusing on leasing/commercial services, mining, manufacturing, and information transfers/software/information technology services, accounting for 25.6 percent, 18.2 percent, 15.2 percent, and 7.3 percent of the total, respectively. There were no new outbound investments in overseas real estate, sports, or the entertainment industries.</w:t>
      </w:r>
    </w:p>
    <w:p>
      <w:pPr>
        <w:rPr>
          <w:bCs/>
          <w:kern w:val="0"/>
          <w:sz w:val="24"/>
        </w:rPr>
      </w:pPr>
    </w:p>
    <w:p>
      <w:pPr>
        <w:rPr>
          <w:b/>
          <w:bCs/>
          <w:kern w:val="0"/>
          <w:sz w:val="24"/>
        </w:rPr>
      </w:pPr>
      <w:r>
        <w:rPr>
          <w:b/>
          <w:bCs/>
          <w:kern w:val="0"/>
          <w:sz w:val="24"/>
        </w:rPr>
        <w:t>2. Services registered strong growth, agricultural production was sound, and industrial production was generally stable</w:t>
      </w:r>
    </w:p>
    <w:p>
      <w:pPr>
        <w:rPr>
          <w:b/>
          <w:bCs/>
          <w:kern w:val="0"/>
          <w:sz w:val="24"/>
        </w:rPr>
      </w:pPr>
    </w:p>
    <w:p>
      <w:pPr>
        <w:rPr>
          <w:bCs/>
          <w:kern w:val="0"/>
          <w:sz w:val="24"/>
        </w:rPr>
      </w:pPr>
      <w:r>
        <w:rPr>
          <w:bCs/>
          <w:kern w:val="0"/>
          <w:sz w:val="24"/>
        </w:rPr>
        <w:t>Tertiary industry continues to expand in terms of its share of value-added. During the first quarter, the value-added of the primary, secondary, and tertiary industries recorded RMB 0.8904 trillion, RMB 7.75 trillion, and RMB 11.24 trillion, respectively, up 3.2 percent, 6.3 percent, and 7.5 percent year on year. Their shares of GDP were 4.5 percent, 39.0 percent, and 56.6 percent as the share of tertiary industry further increased by 5.0 percentage points compared with that in 2017 and exceeded the share of secondary industry by 17.6 percentage points. </w:t>
      </w:r>
    </w:p>
    <w:p>
      <w:pPr>
        <w:rPr>
          <w:bCs/>
          <w:kern w:val="0"/>
          <w:sz w:val="24"/>
        </w:rPr>
      </w:pPr>
    </w:p>
    <w:p>
      <w:pPr>
        <w:rPr>
          <w:bCs/>
          <w:kern w:val="0"/>
          <w:sz w:val="24"/>
        </w:rPr>
      </w:pPr>
      <w:r>
        <w:rPr>
          <w:bCs/>
          <w:kern w:val="0"/>
          <w:sz w:val="24"/>
        </w:rPr>
        <w:t>Agricultural production was sound with a good start for the spring agricultural activities. Farmland for growing quality wheat and other crops increased. Animal husbandry and aquaculture production expanded steadily, with the quarterly output of pork, beef, mutton, and poultry increasing 1.8 percent year on year to 23.16 million tons. </w:t>
      </w:r>
    </w:p>
    <w:p>
      <w:pPr>
        <w:rPr>
          <w:bCs/>
          <w:kern w:val="0"/>
          <w:sz w:val="24"/>
        </w:rPr>
      </w:pPr>
    </w:p>
    <w:p>
      <w:pPr>
        <w:rPr>
          <w:bCs/>
          <w:kern w:val="0"/>
          <w:sz w:val="24"/>
        </w:rPr>
      </w:pPr>
      <w:r>
        <w:rPr>
          <w:bCs/>
          <w:kern w:val="0"/>
          <w:sz w:val="24"/>
        </w:rPr>
        <w:t>Industrial production was steady and corporate profits were relatively good. During the first three months, the value-added of statistically large industrial firms (SLIFs) increased by 6.8 percent year on year in real terms, which was the same as that during the same period of the last year. The value-added in high-tech manufacturing and equipment manufacturing expanded 11.9 percent and 8.8 percent, respectively. The sales-to-output ratio improved, leading to relatively good profits. For the SLIFs, the ratio reached 97.9 percent in the first quarter, up 0.3 percentage point year on year, and profits went up 11.6 percent year on year to RMB 1.55 trillion. The SLIFs also saw the profit margins for their main business lines improve to 6.18 percent, up 0.11 percentage point over that for the first quarter of 2017. According to the Q1 Entrepreneurs’ Survey of 5,000 Industrial Enterprises conducted by the People’s Bank of China, the Corporate Performance Index posted 56.7 percent, up 6.8 percentage points year on year, exceeding 50 percent for the fourth consecutive quarter. </w:t>
      </w:r>
    </w:p>
    <w:p>
      <w:pPr>
        <w:rPr>
          <w:bCs/>
          <w:kern w:val="0"/>
          <w:sz w:val="24"/>
        </w:rPr>
      </w:pPr>
    </w:p>
    <w:p>
      <w:pPr>
        <w:rPr>
          <w:b/>
          <w:bCs/>
          <w:kern w:val="0"/>
          <w:sz w:val="24"/>
        </w:rPr>
      </w:pPr>
      <w:r>
        <w:rPr>
          <w:b/>
          <w:bCs/>
          <w:kern w:val="0"/>
          <w:sz w:val="24"/>
        </w:rPr>
        <w:t>3. Consumer price growth edged up, whereas while producer price growth continued to decline</w:t>
      </w:r>
    </w:p>
    <w:p>
      <w:pPr>
        <w:rPr>
          <w:bCs/>
          <w:kern w:val="0"/>
          <w:sz w:val="24"/>
        </w:rPr>
      </w:pPr>
    </w:p>
    <w:p>
      <w:pPr>
        <w:rPr>
          <w:bCs/>
          <w:kern w:val="0"/>
          <w:sz w:val="24"/>
        </w:rPr>
      </w:pPr>
      <w:r>
        <w:rPr>
          <w:bCs/>
          <w:kern w:val="0"/>
          <w:sz w:val="24"/>
        </w:rPr>
        <w:t>Consumer prices rose at a stronger pace driven by higher food price inflation. In the first quarter, the CPI rose 2.1 percent year on year, up 0.3 percentage point from that in the previous quarter, with monthly CPI growth at 1.5 percent, 2.9 percent, and 2.1 percent. Food price inflation turn positive from its previous negative figures, although non-food price inflation moderated. Food prices went up by 2.0 percent year on year, compared to a decline of 0.6 percent in the fourth quarter of 2017. Non-food prices moved up by 2.2 percent year on year, which was 0.2 percentage point lower than that in the last quarter of 2017. The prices of consumer goods rose at a remarkably stronger pace, while price rises for services moderated. Prices of consumer goods were up 1.7 percent year on year, which was 0.7 percentage point higher than that in the previous quarter. Prices for services moved up by 2.9 percent, representing a quarter-on-quarter deceleration of 0.2 percentage point.</w:t>
      </w:r>
    </w:p>
    <w:p>
      <w:pPr>
        <w:rPr>
          <w:bCs/>
          <w:kern w:val="0"/>
          <w:sz w:val="24"/>
        </w:rPr>
      </w:pPr>
    </w:p>
    <w:p>
      <w:pPr>
        <w:rPr>
          <w:bCs/>
          <w:kern w:val="0"/>
          <w:sz w:val="24"/>
        </w:rPr>
      </w:pPr>
      <w:r>
        <w:rPr>
          <w:bCs/>
          <w:kern w:val="0"/>
          <w:sz w:val="24"/>
        </w:rPr>
        <w:t>Growth of producer prices continued to moderate. The PPI rose 3.7 percent in the first quarter, representing a quarter-on-quarter deceleration of 2.1 percentage points, with monthly PPI growth at 4.3 percent, 3.7 percent, and 3.1 percent, respectively. In particular, the price of capital goods rose 4.9 percent, which was 2.7 percentage points lower than that in the previous quarter. The Purchasing Price Index for Industrial Products (PPIIP) went up 4.4 percent year on year, down by 2.7 percentage points from growth in the previous quarter. The Corporate Goods Price Index (CGPI) rose 3.3 percent year on year, which was lower than that in the fourth quarter of 2017 by 5.4 percentage points. The moderation was largely driven by a strong deceleration in price rises of primary goods and investment goods, which were down by 14.8 percentage points and 6.0 percentage points, respectively, from their growth in the previous quarter.</w:t>
      </w:r>
    </w:p>
    <w:p>
      <w:pPr>
        <w:rPr>
          <w:bCs/>
          <w:kern w:val="0"/>
          <w:sz w:val="24"/>
        </w:rPr>
      </w:pPr>
    </w:p>
    <w:p>
      <w:pPr>
        <w:rPr>
          <w:bCs/>
          <w:kern w:val="0"/>
          <w:sz w:val="24"/>
        </w:rPr>
      </w:pPr>
      <w:r>
        <w:rPr>
          <w:bCs/>
          <w:kern w:val="0"/>
          <w:sz w:val="24"/>
        </w:rPr>
        <w:t>The GDP deflator increased at a slower pace. During the first quarter, the GDP deflator (as the ratio of GDP at current prices to GDP at constant prices) rose 3.1 percent year on year, which was 1.0 percentage point lower than that in the previous quarter.</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276" w:lineRule="auto"/>
        <w:jc w:val="left"/>
        <w:rPr>
          <w:rFonts w:eastAsiaTheme="minorEastAsia"/>
          <w:kern w:val="0"/>
          <w:sz w:val="20"/>
        </w:rPr>
      </w:pPr>
    </w:p>
    <w:p>
      <w:pPr>
        <w:rPr>
          <w:b/>
          <w:bCs/>
          <w:kern w:val="0"/>
          <w:sz w:val="24"/>
        </w:rPr>
      </w:pPr>
      <w:r>
        <w:rPr>
          <w:b/>
          <w:bCs/>
          <w:kern w:val="0"/>
          <w:sz w:val="24"/>
        </w:rPr>
        <w:t>4. Fiscal revenue and expenditures grew rapidly</w:t>
      </w:r>
    </w:p>
    <w:p>
      <w:pPr>
        <w:rPr>
          <w:bCs/>
          <w:kern w:val="0"/>
          <w:sz w:val="24"/>
        </w:rPr>
      </w:pPr>
      <w:r>
        <w:rPr>
          <w:bCs/>
          <w:kern w:val="0"/>
          <w:sz w:val="24"/>
        </w:rPr>
        <w:t>Fiscal revenue grew steadily and tax revenue grew at an accelerated pace. In Q1 of 2018, total fiscal revenue reached RMB 5.05 trillion, up by 13.6 percent year on year, but 0.5 percentage point lower than growth during the same period of the last year. In terms of the revenue structure, tax revenue registered RMB 4.43 trillion, up 17.3 percent year on year and an acceleration of 2.6 percentage points from the same period of the last year; non-tax revenue declined by 7.5 percent year on year to RMB 621.4 billion. In particular, the domestic value-added tax, domestic consumption tax, corporate income tax, personal income tax, and import value-added and consumption tax were all up by 20.1 percent, 28 percent, 11.7 percent, 20.7 percent, and 15.9 percent year on year, respectively.</w:t>
      </w:r>
    </w:p>
    <w:p>
      <w:pPr>
        <w:rPr>
          <w:bCs/>
          <w:kern w:val="0"/>
          <w:sz w:val="24"/>
        </w:rPr>
      </w:pPr>
    </w:p>
    <w:p>
      <w:pPr>
        <w:rPr>
          <w:bCs/>
          <w:kern w:val="0"/>
          <w:sz w:val="24"/>
        </w:rPr>
      </w:pPr>
      <w:r>
        <w:rPr>
          <w:bCs/>
          <w:kern w:val="0"/>
          <w:sz w:val="24"/>
        </w:rPr>
        <w:t>Fiscal expenditures were relatively stable, and the tax- and fee-reduction measures will stimulate corporate production and investment. In Q1 of 2018, fiscal expenditures increased by 10.9 percent year on year to reach RMB 5.10 trillion. The fiscal deficit registered RMB 45.1 billion, down by RMB 110.1 billion year on year. In terms of the expenditure structure, expenditures on transportation, agriculture/forestry/water conservancy, and culture/sports/media were the major items experiencing rapid growth, up 28.4 percent, 24.9 percent, and 20.5 percent, respectively, year on year. Recently, the State Council has issued many tax-reduction measures, such as a further value-added tax reform. It is estimated that the tax-reduction measures will save market participants over RMB 400 billion in 2018, which is more than that during last year. The tax-reduction measures will encourage firms to produce and invest.</w:t>
      </w:r>
    </w:p>
    <w:p>
      <w:pPr>
        <w:rPr>
          <w:bCs/>
          <w:kern w:val="0"/>
          <w:sz w:val="24"/>
        </w:rPr>
      </w:pPr>
      <w:r>
        <w:rPr>
          <w:bCs/>
          <w:kern w:val="0"/>
          <w:sz w:val="24"/>
        </w:rPr>
        <w:t> </w:t>
      </w:r>
    </w:p>
    <w:p>
      <w:pPr>
        <w:rPr>
          <w:b/>
          <w:bCs/>
          <w:kern w:val="0"/>
          <w:sz w:val="24"/>
        </w:rPr>
      </w:pPr>
      <w:r>
        <w:rPr>
          <w:b/>
          <w:bCs/>
          <w:kern w:val="0"/>
          <w:sz w:val="24"/>
        </w:rPr>
        <w:t>5. Employment was generally stable </w:t>
      </w:r>
    </w:p>
    <w:p>
      <w:pPr>
        <w:rPr>
          <w:bCs/>
          <w:kern w:val="0"/>
          <w:sz w:val="24"/>
        </w:rPr>
      </w:pPr>
      <w:r>
        <w:rPr>
          <w:bCs/>
          <w:kern w:val="0"/>
          <w:sz w:val="24"/>
        </w:rPr>
        <w:t>The surveyed unemployment rate declined and the employment market was generally firm. In the first three months of 2018, the surveyed unemployment rates in urban areas were 5.0 percent, 5.0 percent, and 5.1 percent, respectively, down 0.2, 0.4, and 0.1 percentage point year on year. According to the PBC’s Urban Depositors’ Survey, the Employment Experience Index registered 45.8 percent during Q1 of 2018, up by 1 percentage point quarter on quarter, marking the seventh consecutive increase quarter on quarter.</w:t>
      </w:r>
    </w:p>
    <w:p>
      <w:pPr>
        <w:rPr>
          <w:bCs/>
          <w:kern w:val="0"/>
          <w:sz w:val="24"/>
        </w:rPr>
      </w:pPr>
    </w:p>
    <w:p>
      <w:pPr>
        <w:rPr>
          <w:bCs/>
          <w:kern w:val="0"/>
          <w:sz w:val="24"/>
        </w:rPr>
      </w:pPr>
      <w:r>
        <w:rPr>
          <w:bCs/>
          <w:kern w:val="0"/>
          <w:sz w:val="24"/>
        </w:rPr>
        <w:t>Labor demand increased. According to statistical analyses by the China Human Resources Market Information Monitoring Center, in Q1 of 2018 labor demand slightly exceeded supply and the ratio of job vacancies to job seekers was 1.23, which was 0.1 higher year on year and 0.01 higher quarter on quarter. Compared with the same period of the last year, labor demand during Q1 of 2018 increased, whereas job seekers declined. Broken down by industries, leasing and commercial services, the scientific research, technological services, and geologic exploration industries, real estate, and the information transmission, computer services, and software industries recorded large increases in labor demand. Demand for labor with technical or professional skills exceeded supply. Demand for labor with advanced skills, basic skills, and medium professional skills all increased. </w:t>
      </w:r>
    </w:p>
    <w:p>
      <w:pPr>
        <w:rPr>
          <w:bCs/>
          <w:kern w:val="0"/>
          <w:sz w:val="24"/>
        </w:rPr>
      </w:pPr>
    </w:p>
    <w:p>
      <w:pPr>
        <w:rPr>
          <w:b/>
          <w:bCs/>
          <w:kern w:val="0"/>
          <w:sz w:val="24"/>
        </w:rPr>
      </w:pPr>
      <w:r>
        <w:rPr>
          <w:b/>
          <w:bCs/>
          <w:kern w:val="0"/>
          <w:sz w:val="24"/>
        </w:rPr>
        <w:t xml:space="preserve">6. The balance of payments was generally balanced </w:t>
      </w:r>
    </w:p>
    <w:p>
      <w:pPr>
        <w:rPr>
          <w:bCs/>
          <w:kern w:val="0"/>
          <w:sz w:val="24"/>
        </w:rPr>
      </w:pPr>
      <w:r>
        <w:rPr>
          <w:bCs/>
          <w:kern w:val="0"/>
          <w:sz w:val="24"/>
        </w:rPr>
        <w:t>The current account registered a deficit and the external debt increased rapidly. According to preliminary statistics, in Q1 of 2018 the current account deficit reached USD 28.2 billion, mainly due to seasonal factors and the rapid growth of imports of good. The non-reserve financial account registered a surplus of USD 54.5 billion, continuing the trend of capital inflows since Q2 of 2017. At end-March, total foreign-exchange reserves stood at USD 3.1428 trillion. As of end-2017, the total outstanding external debt in both domestic and foreign currencies registered USD 1.7106 trillion, up by USD 289.9 billion from the end of the previous year. Among this, the outstanding short-term external debt registered USD 1.099 trillion, accounting for 64 percent of the total external debt.</w:t>
      </w:r>
    </w:p>
    <w:p>
      <w:pPr>
        <w:rPr>
          <w:bCs/>
          <w:kern w:val="0"/>
          <w:sz w:val="24"/>
        </w:rPr>
      </w:pPr>
    </w:p>
    <w:p>
      <w:pPr>
        <w:rPr>
          <w:b/>
          <w:bCs/>
          <w:kern w:val="0"/>
          <w:sz w:val="24"/>
        </w:rPr>
      </w:pPr>
      <w:r>
        <w:rPr>
          <w:b/>
          <w:bCs/>
          <w:kern w:val="0"/>
          <w:sz w:val="24"/>
        </w:rPr>
        <w:t>7. Analysis by sectors</w:t>
      </w:r>
    </w:p>
    <w:p>
      <w:pPr>
        <w:rPr>
          <w:b/>
          <w:kern w:val="0"/>
          <w:sz w:val="24"/>
        </w:rPr>
      </w:pPr>
      <w:r>
        <w:rPr>
          <w:b/>
          <w:kern w:val="0"/>
          <w:sz w:val="24"/>
        </w:rPr>
        <w:t>(1) The real-estate sector</w:t>
      </w:r>
    </w:p>
    <w:p>
      <w:pPr>
        <w:rPr>
          <w:bCs/>
          <w:kern w:val="0"/>
          <w:sz w:val="24"/>
        </w:rPr>
      </w:pPr>
      <w:r>
        <w:rPr>
          <w:bCs/>
          <w:kern w:val="0"/>
          <w:sz w:val="24"/>
        </w:rPr>
        <w:t>In Q1 of 2018, the growth of housing sales continued to slow down. Both the month-on-month and year-on-year increases in housing prices in 70 large and medium-sized cities declined. The growth of real-estate investments accelerated, whereas the growth of real-estate loans continued to decline.</w:t>
      </w:r>
    </w:p>
    <w:p>
      <w:pPr>
        <w:rPr>
          <w:bCs/>
          <w:kern w:val="0"/>
          <w:sz w:val="24"/>
        </w:rPr>
      </w:pPr>
    </w:p>
    <w:p>
      <w:pPr>
        <w:rPr>
          <w:bCs/>
          <w:kern w:val="0"/>
          <w:sz w:val="24"/>
        </w:rPr>
      </w:pPr>
      <w:r>
        <w:rPr>
          <w:bCs/>
          <w:kern w:val="0"/>
          <w:sz w:val="24"/>
        </w:rPr>
        <w:t>The appreciation of housing prices moderated. In March, the prices of newly-built housing recorded month-on-month growth in 55 out of 70 large and medium-sized cities, 2 cities fewer than that in December 2017, and average growth was down by 0.1 percentage point from December 2017; the prices of newly-built residential housing rose year on year in 60 cities, 1 city less compared with that in December 2017, and the average growth was 0.3 percentage point lower than December 2017. The price of second-hand residential housing increased month on month in 59 cities, 12 cities more than in December 2017; the price of second-hand residential housing increased year on year in 63 cities, 2 cities fewer than that in December 2017. </w:t>
      </w:r>
    </w:p>
    <w:p>
      <w:pPr>
        <w:rPr>
          <w:bCs/>
          <w:kern w:val="0"/>
          <w:sz w:val="24"/>
        </w:rPr>
      </w:pPr>
    </w:p>
    <w:p>
      <w:pPr>
        <w:rPr>
          <w:bCs/>
          <w:kern w:val="0"/>
          <w:sz w:val="24"/>
        </w:rPr>
      </w:pPr>
      <w:r>
        <w:rPr>
          <w:bCs/>
          <w:kern w:val="0"/>
          <w:sz w:val="24"/>
        </w:rPr>
        <w:t>Growth of housing sales continue to slow down. In Q1, the total floor area of sold units posted 300 million square meters, up by 3.6 percent year on year, which was 4.1 percentage points lower than the growth in 2017. Housing sales reached RMB 2.6 trillion, up by 10.4 percent year on year, which was 3.3 percentage points lower than the growth in 2017. In particular, residential housing accounted for 86.8 percent of the total sold floor area and 84.4 percent of total housing sales.  </w:t>
      </w:r>
    </w:p>
    <w:p>
      <w:pPr>
        <w:rPr>
          <w:bCs/>
          <w:kern w:val="0"/>
          <w:sz w:val="24"/>
        </w:rPr>
      </w:pPr>
    </w:p>
    <w:p>
      <w:pPr>
        <w:rPr>
          <w:bCs/>
          <w:kern w:val="0"/>
          <w:sz w:val="24"/>
        </w:rPr>
      </w:pPr>
      <w:r>
        <w:rPr>
          <w:bCs/>
          <w:kern w:val="0"/>
          <w:sz w:val="24"/>
        </w:rPr>
        <w:t>Growth of real-estate investments picked up. In Q1, real-estate investments throughout the country registered RMB 2.1 trillion, up 10.4 percent year on year, which was 3.4 percentage points more than their growth in 2017. Specifically, investments in residential housing, which accounted for 69.1 percent of real-estate investments, reached RMB 1.5 trillion, up 13.3 percent year on year and representing an acceleration of 3.9 percentage points from 2017. The floor area of newly-started real-estate projects gained 9.7 percent year on year to reach 350 million square meters, which was 2.7 percentage points higher than that in 2017. The floor area of real-estate projects under construction grew by 1.5 percent year on year to reach 6.47 billion square meters, a deceleration of 1.5 percentage points from 2017. The floor area of completed real-estate projects declined by 10.1 percent year on year to 210 million square meters, dropping 5.7 percentage points more than the decline in 2017.</w:t>
      </w:r>
    </w:p>
    <w:p>
      <w:pPr>
        <w:rPr>
          <w:bCs/>
          <w:kern w:val="0"/>
          <w:sz w:val="24"/>
        </w:rPr>
      </w:pPr>
    </w:p>
    <w:p>
      <w:pPr>
        <w:rPr>
          <w:bCs/>
          <w:kern w:val="0"/>
          <w:sz w:val="24"/>
        </w:rPr>
      </w:pPr>
      <w:r>
        <w:rPr>
          <w:bCs/>
          <w:kern w:val="0"/>
          <w:sz w:val="24"/>
        </w:rPr>
        <w:t>Growth of real-estate loans continued to slow down. At end-March, outstanding real-estate lending by major financial institutions (including foreign financial institutions) stood at RMB 34.1 trillion, up 20.3 percent year on year and a deceleration of 0.6 percentage point from end-2017. Outstanding real-estate loans accounted for 27.3 percent of total lending. Among this, outstanding personal mortgages rose by 20 percent year on year to RMB 22.9 trillion, which was 2.2 percentage points lower than the growth at end-2017; outstanding housing-development loans increased by 31.2 percent year on year to RMB 6.2 trillion, an acceleration of 4.4 percentage points from end-2017; outstanding land-development loans registered RMB 1.4 trillion, up 2.2 percent year on year as compared with the year-on-year decline of 8.0 percent at end-2017.</w:t>
      </w:r>
    </w:p>
    <w:p>
      <w:pPr>
        <w:rPr>
          <w:bCs/>
          <w:kern w:val="0"/>
          <w:sz w:val="24"/>
        </w:rPr>
      </w:pPr>
    </w:p>
    <w:p>
      <w:pPr>
        <w:rPr>
          <w:bCs/>
          <w:kern w:val="0"/>
          <w:sz w:val="24"/>
        </w:rPr>
      </w:pPr>
      <w:r>
        <w:rPr>
          <w:bCs/>
          <w:kern w:val="0"/>
          <w:sz w:val="24"/>
        </w:rPr>
        <w:t>Loans for welfare housing continued to grow rapidly. At end-March, outstanding loans for the development of welfare housing stood at RMB 3.8 trillion, up 37.9 percent year on year and an acceleration of 5.3 percentage points from end-2017. In Q1, loans for the development of welfare housing grew by RMB 447.89 billion, accounting for 64.7 percent of the total new real-estate development loans, which was 2.9 percentage points higher than that in 2017. In addition, the pilot lending program financed by housing provident funds to support the construction of welfare housing proceeded steadily. By end-March, loans for 373 welfare-housing projects in 85 cities had been approved, RMB 87.21 billion had been disbursed based on the progress of the project, and RMB 79.31 billion in the loan principal had been repaid. </w:t>
      </w:r>
    </w:p>
    <w:p>
      <w:pPr>
        <w:rPr>
          <w:bCs/>
          <w:kern w:val="0"/>
          <w:sz w:val="24"/>
        </w:rPr>
      </w:pPr>
      <w:r>
        <w:rPr>
          <w:bCs/>
          <w:kern w:val="0"/>
          <w:sz w:val="24"/>
        </w:rPr>
        <w:t> </w:t>
      </w:r>
    </w:p>
    <w:p>
      <w:pPr>
        <w:rPr>
          <w:b/>
          <w:bCs/>
          <w:kern w:val="0"/>
          <w:sz w:val="24"/>
        </w:rPr>
      </w:pPr>
      <w:r>
        <w:rPr>
          <w:b/>
          <w:bCs/>
          <w:kern w:val="0"/>
          <w:sz w:val="24"/>
        </w:rPr>
        <w:t>(2) Modern agriculture</w:t>
      </w:r>
    </w:p>
    <w:p>
      <w:pPr>
        <w:rPr>
          <w:bCs/>
          <w:kern w:val="0"/>
          <w:sz w:val="24"/>
        </w:rPr>
      </w:pPr>
      <w:r>
        <w:rPr>
          <w:bCs/>
          <w:kern w:val="0"/>
          <w:sz w:val="24"/>
        </w:rPr>
        <w:t>The modernization of agriculture is the foundation and pillar for the modernization of China. Population growth, urbanization, and upgrading of consumption demand by urban residents require not only safe and quality agricultural products but also a low-carbon, recyclable, and green agricultural-production model. The pursuit of high-quality and sustainable green development has raised new requirements for modern agriculture.</w:t>
      </w:r>
    </w:p>
    <w:p>
      <w:pPr>
        <w:rPr>
          <w:bCs/>
          <w:kern w:val="0"/>
          <w:sz w:val="24"/>
        </w:rPr>
      </w:pPr>
    </w:p>
    <w:p>
      <w:pPr>
        <w:rPr>
          <w:bCs/>
          <w:kern w:val="0"/>
          <w:sz w:val="24"/>
        </w:rPr>
      </w:pPr>
      <w:r>
        <w:rPr>
          <w:bCs/>
          <w:kern w:val="0"/>
          <w:sz w:val="24"/>
        </w:rPr>
        <w:t>In recent years, with increasing policy support for the benefit of farmers, the modernization of agriculture and the development of green agriculture have made remarkable achievements. The supply-side structural reforms in agriculture have made new progress, and the capacity of grain production has been enhanced. In 2017, grain production totaled 617.9 billion kilograms. The capacity to translate agricultural science and technology into production has improved continuously as technical equipment has reached a new level. In 2017, the contribution ratio of scientific and technological progress to agriculture was 57.5 percent. New industries and business models have thrived in the rural areas, bringing structural changes to the agricultural sector. In 2017, the key business revenue of agricultural processing firms over a certain threshold size amounted to RMB 19.4 trillion, up 6.5 percent year on year. New business models such as e-commerce have boomed, and eco-friendly agriculture has gradually become a public favorite. Personal income in the rural areas has made new breakthroughs. By 2017, growth of per capita disposable income in rural areas had exceeded the income growth of urban citizens as well as GDP growth for eight consecutive years. Financial support to modern agriculture has continued to strengthen. With a more comprehensive rural financial system and steady improvement in financial infrastructure, the coverage and quality of rural financial services have improved notably. At end-2017, total outstanding loans of all financial institutions to rural areas (at or below the county level) stood at RMB 25.1 trillion, up by 9.3 percent year on year; loans to rural households reached RMB 8.1 trillion, up by 14.4 percent; and loans to agricultural firms increased 5.7 percent to reach RMB 3.9 trillion.</w:t>
      </w:r>
    </w:p>
    <w:p>
      <w:pPr>
        <w:rPr>
          <w:bCs/>
          <w:kern w:val="0"/>
          <w:sz w:val="24"/>
        </w:rPr>
      </w:pPr>
    </w:p>
    <w:p>
      <w:pPr>
        <w:rPr>
          <w:bCs/>
          <w:kern w:val="0"/>
          <w:sz w:val="24"/>
        </w:rPr>
      </w:pPr>
      <w:r>
        <w:rPr>
          <w:bCs/>
          <w:kern w:val="0"/>
          <w:sz w:val="24"/>
        </w:rPr>
        <w:t>Nonetheless, China still faces many challenges to promote modern agriculture. First, in pursuit of better quality and higher efficiency, agriculture suffers from a dual squeeze from the “floor” of production costs and the “ceiling” generated by international agricultural prices. Its profits, technology inputs, and sustainable development are all affected by the above factors. On the one hand, due to the increasingly tight constraints of environmental protection, it is difficult to develop and use agricultural resources. Per capita arable land and fresh water in China are only one-third and one-fourth, respectively, of the world’s average. Meanwhile, the amount of fertilizers and pesticides applied per unit area is much higher than the world’s average, and the effective utilization rate is low. On the other hand, first, the prices abroad of some agricultural products are lower than the prices at home. Second, it is difficult to translate scientific and technological progress into agricultural production or to spread their applications. The aging population and the rural hollowing out have dragged down the educational level of the labor force in the rural areas. Such factors, combined with poor rural infrastructure, inferior physical equipment, and a weak independent R&amp;D capacity, have hampered the application and spread of scientific and technological progress in agriculture. In light of the requirements for high-quality and green development, it is a huge task to strike the right balance between sound and green development of modern agriculture for the medium- and long-term in China.</w:t>
      </w:r>
    </w:p>
    <w:p>
      <w:pPr>
        <w:rPr>
          <w:bCs/>
          <w:kern w:val="0"/>
          <w:sz w:val="24"/>
        </w:rPr>
      </w:pPr>
    </w:p>
    <w:p>
      <w:pPr>
        <w:rPr>
          <w:bCs/>
          <w:kern w:val="0"/>
          <w:sz w:val="24"/>
        </w:rPr>
      </w:pPr>
      <w:r>
        <w:rPr>
          <w:bCs/>
          <w:kern w:val="0"/>
          <w:sz w:val="24"/>
        </w:rPr>
        <w:t>For the next step, China should increase its technology inputs in agriculture, improve the distribution of technological resources in rural regions, and enhance the incentive mechanism for technological innovations to focus on the green development of agriculture. Meanwhile, China should continue to promote agricultural structural adjustments, encourage the integrated development of the primary, secondary, and tertiary industries in the rural regions, and cultivate entities to serve the green development of agriculture. With enhanced policy support to green agriculture under the international framework such as the WTO, China will accelerate the construction of a sustainable financial-service system to promote green agriculture.   </w:t>
      </w:r>
    </w:p>
    <w:p/>
    <w:p>
      <w:pPr>
        <w:keepNext/>
        <w:keepLines/>
        <w:spacing w:beforeLines="200" w:afterLines="100"/>
        <w:jc w:val="center"/>
        <w:outlineLvl w:val="0"/>
        <w:rPr>
          <w:b/>
          <w:kern w:val="0"/>
          <w:sz w:val="24"/>
        </w:rPr>
      </w:pPr>
      <w:bookmarkStart w:id="134" w:name="_Toc502051025"/>
      <w:bookmarkStart w:id="135" w:name="_Toc517190521"/>
      <w:r>
        <w:rPr>
          <w:rFonts w:eastAsia="黑体"/>
          <w:b/>
          <w:kern w:val="0"/>
          <w:sz w:val="24"/>
        </w:rPr>
        <w:t>Part</w:t>
      </w:r>
      <w:r>
        <w:rPr>
          <w:rFonts w:hint="eastAsia"/>
          <w:b/>
          <w:kern w:val="0"/>
          <w:sz w:val="24"/>
        </w:rPr>
        <w:t xml:space="preserve"> </w:t>
      </w:r>
      <w:r>
        <w:rPr>
          <w:rFonts w:eastAsia="黑体"/>
          <w:b/>
          <w:kern w:val="0"/>
          <w:sz w:val="24"/>
        </w:rPr>
        <w:t>5. Monetary-Policy Stance to be Adopted during the Next Stage</w:t>
      </w:r>
      <w:bookmarkEnd w:id="134"/>
      <w:bookmarkEnd w:id="135"/>
      <w:bookmarkStart w:id="136" w:name="_Toc484425043"/>
      <w:bookmarkStart w:id="137" w:name="_Toc492904390"/>
      <w:bookmarkStart w:id="138" w:name="_Toc476916154"/>
    </w:p>
    <w:p>
      <w:pPr>
        <w:keepNext/>
        <w:keepLines/>
        <w:spacing w:before="20" w:after="20"/>
        <w:outlineLvl w:val="1"/>
        <w:rPr>
          <w:rFonts w:eastAsia="仿宋_GB2312"/>
          <w:b/>
          <w:bCs/>
          <w:sz w:val="24"/>
        </w:rPr>
      </w:pPr>
      <w:bookmarkStart w:id="139" w:name="_Toc502051026"/>
      <w:bookmarkStart w:id="140" w:name="_Toc517190522"/>
      <w:r>
        <w:rPr>
          <w:rFonts w:eastAsia="仿宋_GB2312"/>
          <w:b/>
          <w:bCs/>
          <w:sz w:val="24"/>
        </w:rPr>
        <w:t xml:space="preserve">I.  Outlook for the Chinese </w:t>
      </w:r>
      <w:r>
        <w:rPr>
          <w:b/>
          <w:bCs/>
          <w:sz w:val="24"/>
        </w:rPr>
        <w:t>E</w:t>
      </w:r>
      <w:r>
        <w:rPr>
          <w:rFonts w:eastAsia="仿宋_GB2312"/>
          <w:b/>
          <w:bCs/>
          <w:sz w:val="24"/>
        </w:rPr>
        <w:t>conomy</w:t>
      </w:r>
      <w:bookmarkEnd w:id="136"/>
      <w:bookmarkEnd w:id="137"/>
      <w:bookmarkEnd w:id="138"/>
      <w:bookmarkEnd w:id="139"/>
      <w:bookmarkEnd w:id="140"/>
    </w:p>
    <w:p>
      <w:pPr>
        <w:rPr>
          <w:sz w:val="24"/>
        </w:rPr>
      </w:pPr>
      <w:r>
        <w:rPr>
          <w:b/>
          <w:bCs/>
          <w:sz w:val="24"/>
        </w:rPr>
        <w:t xml:space="preserve">During the next </w:t>
      </w:r>
      <w:r>
        <w:rPr>
          <w:rFonts w:hint="eastAsia"/>
          <w:b/>
          <w:bCs/>
          <w:sz w:val="24"/>
        </w:rPr>
        <w:t>period</w:t>
      </w:r>
      <w:r>
        <w:rPr>
          <w:b/>
          <w:bCs/>
          <w:sz w:val="24"/>
        </w:rPr>
        <w:t xml:space="preserve">, </w:t>
      </w:r>
      <w:r>
        <w:rPr>
          <w:rFonts w:hint="eastAsia"/>
          <w:b/>
          <w:bCs/>
          <w:sz w:val="24"/>
        </w:rPr>
        <w:t xml:space="preserve">several </w:t>
      </w:r>
      <w:r>
        <w:rPr>
          <w:b/>
          <w:bCs/>
          <w:sz w:val="24"/>
        </w:rPr>
        <w:t>favorable f</w:t>
      </w:r>
      <w:r>
        <w:rPr>
          <w:rFonts w:eastAsia="Times New Roman"/>
          <w:b/>
          <w:sz w:val="24"/>
        </w:rPr>
        <w:t xml:space="preserve">actors will support </w:t>
      </w:r>
      <w:r>
        <w:rPr>
          <w:rFonts w:hint="eastAsia"/>
          <w:b/>
          <w:sz w:val="24"/>
        </w:rPr>
        <w:t xml:space="preserve">sustained and sound </w:t>
      </w:r>
      <w:r>
        <w:rPr>
          <w:rFonts w:eastAsia="Times New Roman"/>
          <w:b/>
          <w:sz w:val="24"/>
        </w:rPr>
        <w:t xml:space="preserve">growth of the Chinese economy. </w:t>
      </w:r>
      <w:r>
        <w:rPr>
          <w:rFonts w:hint="eastAsia"/>
          <w:sz w:val="24"/>
        </w:rPr>
        <w:t xml:space="preserve">The </w:t>
      </w:r>
      <w:r>
        <w:rPr>
          <w:sz w:val="24"/>
        </w:rPr>
        <w:t>global econom</w:t>
      </w:r>
      <w:r>
        <w:rPr>
          <w:rFonts w:hint="eastAsia"/>
          <w:sz w:val="24"/>
        </w:rPr>
        <w:t xml:space="preserve">ic recovery will </w:t>
      </w:r>
      <w:r>
        <w:rPr>
          <w:sz w:val="24"/>
        </w:rPr>
        <w:t>continue.</w:t>
      </w:r>
      <w:r>
        <w:rPr>
          <w:rFonts w:hint="eastAsia"/>
          <w:sz w:val="24"/>
        </w:rPr>
        <w:t xml:space="preserve"> The </w:t>
      </w:r>
      <w:r>
        <w:rPr>
          <w:sz w:val="24"/>
        </w:rPr>
        <w:t>Chinese</w:t>
      </w:r>
      <w:r>
        <w:rPr>
          <w:rFonts w:hint="eastAsia"/>
          <w:sz w:val="24"/>
        </w:rPr>
        <w:t xml:space="preserve"> economy is experiencing a cyclical upturn, with </w:t>
      </w:r>
      <w:r>
        <w:rPr>
          <w:sz w:val="24"/>
        </w:rPr>
        <w:t>favorable</w:t>
      </w:r>
      <w:r>
        <w:rPr>
          <w:rFonts w:hint="eastAsia"/>
          <w:sz w:val="24"/>
        </w:rPr>
        <w:t xml:space="preserve"> long-term momentum in the fundamentals remaining unchanged. The economy </w:t>
      </w:r>
      <w:r>
        <w:rPr>
          <w:rFonts w:eastAsia="Times New Roman"/>
          <w:sz w:val="24"/>
        </w:rPr>
        <w:t>has a huge growth potential, with much room for development in new urbanization, services,</w:t>
      </w:r>
      <w:r>
        <w:rPr>
          <w:rFonts w:hint="eastAsia"/>
          <w:sz w:val="24"/>
        </w:rPr>
        <w:t xml:space="preserve"> advanced</w:t>
      </w:r>
      <w:r>
        <w:rPr>
          <w:rFonts w:eastAsia="Times New Roman"/>
          <w:sz w:val="24"/>
        </w:rPr>
        <w:t xml:space="preserve"> manufacturing, and consumption upgrading. </w:t>
      </w:r>
      <w:r>
        <w:rPr>
          <w:rFonts w:hint="eastAsia"/>
          <w:sz w:val="24"/>
        </w:rPr>
        <w:t xml:space="preserve">There </w:t>
      </w:r>
      <w:r>
        <w:rPr>
          <w:sz w:val="24"/>
        </w:rPr>
        <w:t xml:space="preserve">is </w:t>
      </w:r>
      <w:r>
        <w:rPr>
          <w:rFonts w:eastAsia="Times New Roman"/>
          <w:sz w:val="24"/>
        </w:rPr>
        <w:t xml:space="preserve">also fairly large room for policy maneuvers. </w:t>
      </w:r>
      <w:r>
        <w:rPr>
          <w:sz w:val="24"/>
        </w:rPr>
        <w:t>Re</w:t>
      </w:r>
      <w:r>
        <w:rPr>
          <w:rFonts w:hint="eastAsia"/>
          <w:sz w:val="24"/>
        </w:rPr>
        <w:t xml:space="preserve">form of the economic system </w:t>
      </w:r>
      <w:r>
        <w:rPr>
          <w:sz w:val="24"/>
        </w:rPr>
        <w:t>has been</w:t>
      </w:r>
      <w:r>
        <w:rPr>
          <w:rFonts w:hint="eastAsia"/>
          <w:sz w:val="24"/>
        </w:rPr>
        <w:t xml:space="preserve"> furthered, and </w:t>
      </w:r>
      <w:r>
        <w:rPr>
          <w:rFonts w:eastAsia="Times New Roman"/>
          <w:sz w:val="24"/>
        </w:rPr>
        <w:t>the supply-side structural reforms</w:t>
      </w:r>
      <w:r>
        <w:rPr>
          <w:rFonts w:hint="eastAsia"/>
          <w:sz w:val="24"/>
        </w:rPr>
        <w:t xml:space="preserve"> ha</w:t>
      </w:r>
      <w:r>
        <w:rPr>
          <w:sz w:val="24"/>
        </w:rPr>
        <w:t>ve</w:t>
      </w:r>
      <w:r>
        <w:rPr>
          <w:rFonts w:hint="eastAsia"/>
          <w:sz w:val="24"/>
        </w:rPr>
        <w:t xml:space="preserve"> been deepen</w:t>
      </w:r>
      <w:r>
        <w:rPr>
          <w:sz w:val="24"/>
        </w:rPr>
        <w:t>ed</w:t>
      </w:r>
      <w:r>
        <w:rPr>
          <w:rFonts w:hint="eastAsia"/>
          <w:sz w:val="24"/>
        </w:rPr>
        <w:t>. T</w:t>
      </w:r>
      <w:r>
        <w:rPr>
          <w:sz w:val="24"/>
        </w:rPr>
        <w:t xml:space="preserve">he </w:t>
      </w:r>
      <w:r>
        <w:rPr>
          <w:rFonts w:hint="eastAsia"/>
          <w:sz w:val="24"/>
        </w:rPr>
        <w:t xml:space="preserve">removal of excess capacity has continued, utilization of industrial capacity has rebounded, and aggregate supply and demand have become more balanced. </w:t>
      </w:r>
      <w:r>
        <w:rPr>
          <w:sz w:val="24"/>
        </w:rPr>
        <w:t>N</w:t>
      </w:r>
      <w:r>
        <w:rPr>
          <w:rFonts w:hint="eastAsia"/>
          <w:sz w:val="24"/>
        </w:rPr>
        <w:t>ew industries have expand</w:t>
      </w:r>
      <w:r>
        <w:rPr>
          <w:sz w:val="24"/>
        </w:rPr>
        <w:t>ed</w:t>
      </w:r>
      <w:r>
        <w:rPr>
          <w:rFonts w:hint="eastAsia"/>
          <w:sz w:val="24"/>
        </w:rPr>
        <w:t xml:space="preserve"> </w:t>
      </w:r>
      <w:r>
        <w:rPr>
          <w:sz w:val="24"/>
        </w:rPr>
        <w:t>rapidly</w:t>
      </w:r>
      <w:r>
        <w:rPr>
          <w:rFonts w:hint="eastAsia"/>
          <w:sz w:val="24"/>
        </w:rPr>
        <w:t xml:space="preserve">, traditional industries </w:t>
      </w:r>
      <w:r>
        <w:rPr>
          <w:sz w:val="24"/>
        </w:rPr>
        <w:t xml:space="preserve">have </w:t>
      </w:r>
      <w:r>
        <w:rPr>
          <w:rFonts w:hint="eastAsia"/>
          <w:sz w:val="24"/>
        </w:rPr>
        <w:t>made strong progress in</w:t>
      </w:r>
      <w:r>
        <w:rPr>
          <w:sz w:val="24"/>
        </w:rPr>
        <w:t xml:space="preserve"> upgrading</w:t>
      </w:r>
      <w:r>
        <w:rPr>
          <w:rFonts w:hint="eastAsia"/>
          <w:sz w:val="24"/>
        </w:rPr>
        <w:t xml:space="preserve">, and the economic </w:t>
      </w:r>
      <w:r>
        <w:rPr>
          <w:sz w:val="24"/>
        </w:rPr>
        <w:t>structure</w:t>
      </w:r>
      <w:r>
        <w:rPr>
          <w:rFonts w:hint="eastAsia"/>
          <w:sz w:val="24"/>
        </w:rPr>
        <w:t xml:space="preserve"> has improved</w:t>
      </w:r>
      <w:r>
        <w:rPr>
          <w:sz w:val="24"/>
        </w:rPr>
        <w:t xml:space="preserve"> further. </w:t>
      </w:r>
      <w:r>
        <w:rPr>
          <w:rFonts w:hint="eastAsia"/>
          <w:sz w:val="24"/>
        </w:rPr>
        <w:t xml:space="preserve">Growth of </w:t>
      </w:r>
      <w:r>
        <w:rPr>
          <w:sz w:val="24"/>
        </w:rPr>
        <w:t xml:space="preserve">the </w:t>
      </w:r>
      <w:r>
        <w:rPr>
          <w:rFonts w:hint="eastAsia"/>
          <w:sz w:val="24"/>
        </w:rPr>
        <w:t xml:space="preserve">macro leverage ratio has decelerated. The </w:t>
      </w:r>
      <w:r>
        <w:rPr>
          <w:sz w:val="24"/>
        </w:rPr>
        <w:t>financial</w:t>
      </w:r>
      <w:r>
        <w:rPr>
          <w:rFonts w:hint="eastAsia"/>
          <w:sz w:val="24"/>
        </w:rPr>
        <w:t xml:space="preserve"> system has made notable progress in controlling internal leverag</w:t>
      </w:r>
      <w:r>
        <w:rPr>
          <w:sz w:val="24"/>
        </w:rPr>
        <w:t>ing</w:t>
      </w:r>
      <w:r>
        <w:rPr>
          <w:rFonts w:hint="eastAsia"/>
          <w:sz w:val="24"/>
        </w:rPr>
        <w:t xml:space="preserve">. The reasonable </w:t>
      </w:r>
      <w:r>
        <w:rPr>
          <w:sz w:val="24"/>
        </w:rPr>
        <w:t>growth</w:t>
      </w:r>
      <w:r>
        <w:rPr>
          <w:rFonts w:hint="eastAsia"/>
          <w:sz w:val="24"/>
        </w:rPr>
        <w:t xml:space="preserve"> of money, credit, and all-system financing aggregate</w:t>
      </w:r>
      <w:r>
        <w:rPr>
          <w:sz w:val="24"/>
        </w:rPr>
        <w:t>s</w:t>
      </w:r>
      <w:r>
        <w:rPr>
          <w:rFonts w:hint="eastAsia"/>
          <w:sz w:val="24"/>
        </w:rPr>
        <w:t xml:space="preserve"> has provided a proper monetary and financial environment for supply-side structural reform</w:t>
      </w:r>
      <w:r>
        <w:rPr>
          <w:sz w:val="24"/>
        </w:rPr>
        <w:t>s</w:t>
      </w:r>
      <w:r>
        <w:rPr>
          <w:rFonts w:hint="eastAsia"/>
          <w:sz w:val="24"/>
        </w:rPr>
        <w:t xml:space="preserve"> and high-quality development. Supported by</w:t>
      </w:r>
      <w:r>
        <w:rPr>
          <w:sz w:val="24"/>
        </w:rPr>
        <w:t xml:space="preserve"> numerous </w:t>
      </w:r>
      <w:r>
        <w:rPr>
          <w:rFonts w:hint="eastAsia"/>
          <w:sz w:val="24"/>
        </w:rPr>
        <w:t xml:space="preserve">factors, the economy continued </w:t>
      </w:r>
      <w:r>
        <w:rPr>
          <w:sz w:val="24"/>
        </w:rPr>
        <w:t>its</w:t>
      </w:r>
      <w:r>
        <w:rPr>
          <w:rFonts w:hint="eastAsia"/>
          <w:sz w:val="24"/>
        </w:rPr>
        <w:t xml:space="preserve"> sound </w:t>
      </w:r>
      <w:r>
        <w:rPr>
          <w:sz w:val="24"/>
        </w:rPr>
        <w:t>development</w:t>
      </w:r>
      <w:r>
        <w:rPr>
          <w:rFonts w:hint="eastAsia"/>
          <w:sz w:val="24"/>
        </w:rPr>
        <w:t xml:space="preserve"> momentum in </w:t>
      </w:r>
      <w:r>
        <w:rPr>
          <w:sz w:val="24"/>
        </w:rPr>
        <w:t xml:space="preserve">Q1 of </w:t>
      </w:r>
      <w:r>
        <w:rPr>
          <w:rFonts w:hint="eastAsia"/>
          <w:sz w:val="24"/>
        </w:rPr>
        <w:t>2018, with steadily advancing transformation and upgrading, strengthened economic resilience, better quality</w:t>
      </w:r>
      <w:r>
        <w:rPr>
          <w:sz w:val="24"/>
        </w:rPr>
        <w:t>,</w:t>
      </w:r>
      <w:r>
        <w:rPr>
          <w:rFonts w:hint="eastAsia"/>
          <w:sz w:val="24"/>
        </w:rPr>
        <w:t xml:space="preserve"> and higher </w:t>
      </w:r>
      <w:r>
        <w:rPr>
          <w:sz w:val="24"/>
        </w:rPr>
        <w:t>efficiency</w:t>
      </w:r>
      <w:r>
        <w:rPr>
          <w:rFonts w:hint="eastAsia"/>
          <w:sz w:val="24"/>
        </w:rPr>
        <w:t xml:space="preserve">. </w:t>
      </w:r>
      <w:r>
        <w:rPr>
          <w:rFonts w:eastAsia="Times New Roman"/>
          <w:sz w:val="24"/>
        </w:rPr>
        <w:t>The PBC</w:t>
      </w:r>
      <w:r>
        <w:rPr>
          <w:rFonts w:hint="eastAsia" w:eastAsia="Times New Roman"/>
          <w:sz w:val="24"/>
        </w:rPr>
        <w:t>’</w:t>
      </w:r>
      <w:r>
        <w:rPr>
          <w:rFonts w:eastAsia="Times New Roman"/>
          <w:sz w:val="24"/>
        </w:rPr>
        <w:t xml:space="preserve">s </w:t>
      </w:r>
      <w:r>
        <w:rPr>
          <w:sz w:val="24"/>
        </w:rPr>
        <w:t xml:space="preserve">Quarterly </w:t>
      </w:r>
      <w:r>
        <w:rPr>
          <w:rFonts w:eastAsia="Times New Roman"/>
          <w:iCs/>
          <w:sz w:val="24"/>
        </w:rPr>
        <w:t>Survey of Entrepreneurs and Bankers</w:t>
      </w:r>
      <w:r>
        <w:rPr>
          <w:rFonts w:eastAsia="Times New Roman"/>
          <w:sz w:val="24"/>
        </w:rPr>
        <w:t xml:space="preserve"> </w:t>
      </w:r>
      <w:r>
        <w:rPr>
          <w:rFonts w:hint="eastAsia"/>
          <w:sz w:val="24"/>
        </w:rPr>
        <w:t xml:space="preserve">in </w:t>
      </w:r>
      <w:r>
        <w:rPr>
          <w:rFonts w:eastAsia="Times New Roman"/>
          <w:sz w:val="24"/>
        </w:rPr>
        <w:t>Q</w:t>
      </w:r>
      <w:r>
        <w:rPr>
          <w:rFonts w:hint="eastAsia"/>
          <w:sz w:val="24"/>
        </w:rPr>
        <w:t>1</w:t>
      </w:r>
      <w:r>
        <w:rPr>
          <w:sz w:val="24"/>
        </w:rPr>
        <w:t xml:space="preserve"> of</w:t>
      </w:r>
      <w:r>
        <w:rPr>
          <w:rFonts w:eastAsia="Times New Roman"/>
          <w:sz w:val="24"/>
        </w:rPr>
        <w:t xml:space="preserve"> 201</w:t>
      </w:r>
      <w:r>
        <w:rPr>
          <w:rFonts w:hint="eastAsia"/>
          <w:sz w:val="24"/>
        </w:rPr>
        <w:t>8</w:t>
      </w:r>
      <w:r>
        <w:rPr>
          <w:rFonts w:eastAsia="Times New Roman"/>
          <w:sz w:val="24"/>
        </w:rPr>
        <w:t xml:space="preserve"> reveals that </w:t>
      </w:r>
      <w:r>
        <w:rPr>
          <w:rFonts w:hint="eastAsia"/>
          <w:sz w:val="24"/>
        </w:rPr>
        <w:t xml:space="preserve">the </w:t>
      </w:r>
      <w:r>
        <w:rPr>
          <w:rFonts w:eastAsia="Times New Roman"/>
          <w:sz w:val="24"/>
        </w:rPr>
        <w:t>macro-economic indicator, confidence indicator,</w:t>
      </w:r>
      <w:r>
        <w:rPr>
          <w:sz w:val="24"/>
        </w:rPr>
        <w:t xml:space="preserve"> and other</w:t>
      </w:r>
      <w:r>
        <w:rPr>
          <w:rFonts w:eastAsia="Times New Roman"/>
          <w:sz w:val="24"/>
        </w:rPr>
        <w:t xml:space="preserve"> indicators r</w:t>
      </w:r>
      <w:r>
        <w:rPr>
          <w:rFonts w:hint="eastAsia"/>
          <w:sz w:val="24"/>
        </w:rPr>
        <w:t xml:space="preserve">ose both </w:t>
      </w:r>
      <w:r>
        <w:rPr>
          <w:rFonts w:eastAsia="Times New Roman"/>
          <w:sz w:val="24"/>
        </w:rPr>
        <w:t>quarter on quarter</w:t>
      </w:r>
      <w:r>
        <w:rPr>
          <w:rFonts w:hint="eastAsia"/>
          <w:sz w:val="24"/>
        </w:rPr>
        <w:t xml:space="preserve"> and year on year</w:t>
      </w:r>
      <w:r>
        <w:rPr>
          <w:rFonts w:eastAsia="Times New Roman"/>
          <w:sz w:val="24"/>
        </w:rPr>
        <w:t>. The</w:t>
      </w:r>
      <w:r>
        <w:rPr>
          <w:rFonts w:eastAsia="Times New Roman"/>
          <w:i/>
          <w:iCs/>
          <w:sz w:val="24"/>
        </w:rPr>
        <w:t xml:space="preserve"> </w:t>
      </w:r>
      <w:r>
        <w:rPr>
          <w:rFonts w:eastAsia="Times New Roman"/>
          <w:iCs/>
          <w:sz w:val="24"/>
        </w:rPr>
        <w:t>Survey of Urban Depositors</w:t>
      </w:r>
      <w:r>
        <w:rPr>
          <w:rFonts w:eastAsia="Times New Roman"/>
          <w:sz w:val="24"/>
        </w:rPr>
        <w:t xml:space="preserve"> shows that</w:t>
      </w:r>
      <w:r>
        <w:rPr>
          <w:sz w:val="24"/>
        </w:rPr>
        <w:t xml:space="preserve"> </w:t>
      </w:r>
      <w:r>
        <w:rPr>
          <w:rFonts w:eastAsia="Times New Roman"/>
          <w:sz w:val="24"/>
        </w:rPr>
        <w:t xml:space="preserve">employment expectations of households </w:t>
      </w:r>
      <w:r>
        <w:rPr>
          <w:sz w:val="24"/>
        </w:rPr>
        <w:t>have</w:t>
      </w:r>
      <w:r>
        <w:rPr>
          <w:rFonts w:hint="eastAsia"/>
          <w:sz w:val="24"/>
        </w:rPr>
        <w:t xml:space="preserve"> also improved</w:t>
      </w:r>
      <w:r>
        <w:rPr>
          <w:rFonts w:eastAsia="Times New Roman"/>
          <w:sz w:val="24"/>
        </w:rPr>
        <w:t>.</w:t>
      </w:r>
      <w:r>
        <w:rPr>
          <w:sz w:val="24"/>
        </w:rPr>
        <w:t xml:space="preserve"> </w:t>
      </w:r>
    </w:p>
    <w:p>
      <w:pPr>
        <w:rPr>
          <w:sz w:val="24"/>
        </w:rPr>
      </w:pPr>
    </w:p>
    <w:p>
      <w:pPr>
        <w:rPr>
          <w:sz w:val="24"/>
        </w:rPr>
      </w:pPr>
      <w:r>
        <w:rPr>
          <w:rFonts w:eastAsia="Times New Roman"/>
          <w:b/>
          <w:sz w:val="24"/>
        </w:rPr>
        <w:t xml:space="preserve">Nevertheless, </w:t>
      </w:r>
      <w:r>
        <w:rPr>
          <w:rFonts w:hint="eastAsia"/>
          <w:b/>
          <w:sz w:val="24"/>
        </w:rPr>
        <w:t xml:space="preserve">it is </w:t>
      </w:r>
      <w:r>
        <w:rPr>
          <w:b/>
          <w:sz w:val="24"/>
        </w:rPr>
        <w:t>worth</w:t>
      </w:r>
      <w:r>
        <w:rPr>
          <w:rFonts w:hint="eastAsia"/>
          <w:b/>
          <w:sz w:val="24"/>
        </w:rPr>
        <w:t xml:space="preserve"> noting that</w:t>
      </w:r>
      <w:r>
        <w:rPr>
          <w:b/>
          <w:sz w:val="24"/>
        </w:rPr>
        <w:t xml:space="preserve"> structural </w:t>
      </w:r>
      <w:r>
        <w:rPr>
          <w:rFonts w:hint="eastAsia"/>
          <w:b/>
          <w:sz w:val="24"/>
        </w:rPr>
        <w:t xml:space="preserve">and deep-rooted </w:t>
      </w:r>
      <w:r>
        <w:rPr>
          <w:b/>
          <w:sz w:val="24"/>
        </w:rPr>
        <w:t xml:space="preserve">problems </w:t>
      </w:r>
      <w:r>
        <w:rPr>
          <w:rFonts w:hint="eastAsia"/>
          <w:b/>
          <w:sz w:val="24"/>
        </w:rPr>
        <w:t xml:space="preserve">that weigh on sustained economic growth </w:t>
      </w:r>
      <w:r>
        <w:rPr>
          <w:b/>
          <w:sz w:val="24"/>
        </w:rPr>
        <w:t>remain</w:t>
      </w:r>
      <w:r>
        <w:rPr>
          <w:rFonts w:hint="eastAsia"/>
          <w:b/>
          <w:sz w:val="24"/>
        </w:rPr>
        <w:t xml:space="preserve"> acute</w:t>
      </w:r>
      <w:r>
        <w:rPr>
          <w:b/>
          <w:sz w:val="24"/>
        </w:rPr>
        <w:t xml:space="preserve">, the structural adjustments and reforms still </w:t>
      </w:r>
      <w:r>
        <w:rPr>
          <w:rFonts w:hint="eastAsia"/>
          <w:b/>
          <w:sz w:val="24"/>
        </w:rPr>
        <w:t>have a long way to go</w:t>
      </w:r>
      <w:r>
        <w:rPr>
          <w:b/>
          <w:sz w:val="24"/>
        </w:rPr>
        <w:t xml:space="preserve">, and the task of </w:t>
      </w:r>
      <w:r>
        <w:rPr>
          <w:rFonts w:hint="eastAsia"/>
          <w:b/>
          <w:sz w:val="24"/>
        </w:rPr>
        <w:t xml:space="preserve">preventing and </w:t>
      </w:r>
      <w:r>
        <w:rPr>
          <w:b/>
          <w:sz w:val="24"/>
        </w:rPr>
        <w:t>resolving</w:t>
      </w:r>
      <w:r>
        <w:rPr>
          <w:rFonts w:hint="eastAsia"/>
          <w:b/>
          <w:sz w:val="24"/>
        </w:rPr>
        <w:t xml:space="preserve"> major </w:t>
      </w:r>
      <w:r>
        <w:rPr>
          <w:b/>
          <w:sz w:val="24"/>
        </w:rPr>
        <w:t>financial risks</w:t>
      </w:r>
      <w:r>
        <w:rPr>
          <w:rFonts w:hint="eastAsia"/>
          <w:b/>
          <w:sz w:val="24"/>
        </w:rPr>
        <w:t xml:space="preserve"> is still arduous</w:t>
      </w:r>
      <w:r>
        <w:rPr>
          <w:b/>
          <w:sz w:val="24"/>
        </w:rPr>
        <w:t xml:space="preserve">. </w:t>
      </w:r>
      <w:r>
        <w:rPr>
          <w:sz w:val="24"/>
        </w:rPr>
        <w:t xml:space="preserve">Externally, </w:t>
      </w:r>
      <w:r>
        <w:rPr>
          <w:rFonts w:hint="eastAsia"/>
          <w:sz w:val="24"/>
        </w:rPr>
        <w:t xml:space="preserve">the </w:t>
      </w:r>
      <w:r>
        <w:rPr>
          <w:sz w:val="24"/>
        </w:rPr>
        <w:t>global</w:t>
      </w:r>
      <w:r>
        <w:rPr>
          <w:rFonts w:hint="eastAsia"/>
          <w:sz w:val="24"/>
        </w:rPr>
        <w:t xml:space="preserve"> economic and political situation</w:t>
      </w:r>
      <w:r>
        <w:rPr>
          <w:sz w:val="24"/>
        </w:rPr>
        <w:t xml:space="preserve"> is even more complicated,</w:t>
      </w:r>
      <w:r>
        <w:rPr>
          <w:rFonts w:hint="eastAsia"/>
          <w:sz w:val="24"/>
        </w:rPr>
        <w:t xml:space="preserve"> and</w:t>
      </w:r>
      <w:r>
        <w:rPr>
          <w:sz w:val="24"/>
        </w:rPr>
        <w:t xml:space="preserve"> there are</w:t>
      </w:r>
      <w:r>
        <w:rPr>
          <w:rFonts w:hint="eastAsia"/>
          <w:sz w:val="24"/>
        </w:rPr>
        <w:t xml:space="preserve"> uncertainties regarding fiscal</w:t>
      </w:r>
      <w:r>
        <w:rPr>
          <w:sz w:val="24"/>
        </w:rPr>
        <w:t xml:space="preserve"> policies</w:t>
      </w:r>
      <w:r>
        <w:rPr>
          <w:rFonts w:hint="eastAsia"/>
          <w:sz w:val="24"/>
        </w:rPr>
        <w:t>, trade</w:t>
      </w:r>
      <w:r>
        <w:rPr>
          <w:sz w:val="24"/>
        </w:rPr>
        <w:t xml:space="preserve"> policies,</w:t>
      </w:r>
      <w:r>
        <w:rPr>
          <w:rFonts w:hint="eastAsia"/>
          <w:sz w:val="24"/>
        </w:rPr>
        <w:t xml:space="preserve"> and monetary policies </w:t>
      </w:r>
      <w:r>
        <w:rPr>
          <w:sz w:val="24"/>
        </w:rPr>
        <w:t>in</w:t>
      </w:r>
      <w:r>
        <w:rPr>
          <w:rFonts w:hint="eastAsia"/>
          <w:sz w:val="24"/>
        </w:rPr>
        <w:t xml:space="preserve"> some advanced economies</w:t>
      </w:r>
      <w:r>
        <w:rPr>
          <w:sz w:val="24"/>
        </w:rPr>
        <w:t xml:space="preserve">, which </w:t>
      </w:r>
      <w:r>
        <w:rPr>
          <w:rFonts w:hint="eastAsia"/>
          <w:sz w:val="24"/>
        </w:rPr>
        <w:t xml:space="preserve"> might </w:t>
      </w:r>
      <w:r>
        <w:rPr>
          <w:sz w:val="24"/>
        </w:rPr>
        <w:t xml:space="preserve">cause </w:t>
      </w:r>
      <w:r>
        <w:rPr>
          <w:rFonts w:hint="eastAsia"/>
          <w:sz w:val="24"/>
        </w:rPr>
        <w:t xml:space="preserve">shock waves </w:t>
      </w:r>
      <w:r>
        <w:rPr>
          <w:sz w:val="24"/>
        </w:rPr>
        <w:t>on</w:t>
      </w:r>
      <w:r>
        <w:rPr>
          <w:rFonts w:hint="eastAsia"/>
          <w:sz w:val="24"/>
        </w:rPr>
        <w:t xml:space="preserve"> the global economy </w:t>
      </w:r>
      <w:r>
        <w:rPr>
          <w:sz w:val="24"/>
        </w:rPr>
        <w:t xml:space="preserve">and on </w:t>
      </w:r>
      <w:r>
        <w:rPr>
          <w:sz w:val="24"/>
          <w:highlight w:val="none"/>
        </w:rPr>
        <w:t>capital flows</w:t>
      </w:r>
      <w:r>
        <w:rPr>
          <w:sz w:val="24"/>
        </w:rPr>
        <w:t xml:space="preserve">. </w:t>
      </w:r>
      <w:r>
        <w:rPr>
          <w:rFonts w:hint="eastAsia"/>
          <w:sz w:val="24"/>
        </w:rPr>
        <w:t xml:space="preserve"> </w:t>
      </w:r>
      <w:r>
        <w:rPr>
          <w:sz w:val="24"/>
        </w:rPr>
        <w:t>M</w:t>
      </w:r>
      <w:r>
        <w:rPr>
          <w:rFonts w:hint="eastAsia"/>
          <w:sz w:val="24"/>
        </w:rPr>
        <w:t>eanwhile, with geopolitical risks remain</w:t>
      </w:r>
      <w:r>
        <w:rPr>
          <w:sz w:val="24"/>
        </w:rPr>
        <w:t>ing</w:t>
      </w:r>
      <w:r>
        <w:rPr>
          <w:rFonts w:hint="eastAsia"/>
          <w:sz w:val="24"/>
        </w:rPr>
        <w:t xml:space="preserve"> elevated, volatilities </w:t>
      </w:r>
      <w:r>
        <w:rPr>
          <w:sz w:val="24"/>
        </w:rPr>
        <w:t>in</w:t>
      </w:r>
      <w:r>
        <w:rPr>
          <w:rFonts w:hint="eastAsia"/>
          <w:sz w:val="24"/>
        </w:rPr>
        <w:t xml:space="preserve"> international financial markets might increase. On the domestic front, the </w:t>
      </w:r>
      <w:r>
        <w:rPr>
          <w:sz w:val="24"/>
        </w:rPr>
        <w:t>recent</w:t>
      </w:r>
      <w:r>
        <w:rPr>
          <w:rFonts w:hint="eastAsia"/>
          <w:sz w:val="24"/>
        </w:rPr>
        <w:t xml:space="preserve"> upturn is, to a certain extent, driven by the boom in </w:t>
      </w:r>
      <w:r>
        <w:rPr>
          <w:sz w:val="24"/>
        </w:rPr>
        <w:t xml:space="preserve">the </w:t>
      </w:r>
      <w:r>
        <w:rPr>
          <w:rFonts w:hint="eastAsia"/>
          <w:sz w:val="24"/>
        </w:rPr>
        <w:t xml:space="preserve">external environment as a result of </w:t>
      </w:r>
      <w:r>
        <w:rPr>
          <w:sz w:val="24"/>
        </w:rPr>
        <w:t xml:space="preserve">the </w:t>
      </w:r>
      <w:r>
        <w:rPr>
          <w:rFonts w:hint="eastAsia"/>
          <w:sz w:val="24"/>
        </w:rPr>
        <w:t xml:space="preserve">global recovery, </w:t>
      </w:r>
      <w:r>
        <w:rPr>
          <w:sz w:val="24"/>
        </w:rPr>
        <w:t xml:space="preserve">but </w:t>
      </w:r>
      <w:r>
        <w:rPr>
          <w:rFonts w:hint="eastAsia"/>
          <w:sz w:val="24"/>
        </w:rPr>
        <w:t>bottleneck</w:t>
      </w:r>
      <w:r>
        <w:rPr>
          <w:sz w:val="24"/>
        </w:rPr>
        <w:t>s</w:t>
      </w:r>
      <w:r>
        <w:rPr>
          <w:rFonts w:hint="eastAsia"/>
          <w:sz w:val="24"/>
        </w:rPr>
        <w:t xml:space="preserve"> in certain weak-point areas </w:t>
      </w:r>
      <w:r>
        <w:rPr>
          <w:sz w:val="24"/>
        </w:rPr>
        <w:t>remain,</w:t>
      </w:r>
      <w:r>
        <w:rPr>
          <w:rFonts w:hint="eastAsia"/>
          <w:sz w:val="24"/>
        </w:rPr>
        <w:t xml:space="preserve"> </w:t>
      </w:r>
      <w:r>
        <w:rPr>
          <w:sz w:val="24"/>
        </w:rPr>
        <w:t>overall</w:t>
      </w:r>
      <w:r>
        <w:rPr>
          <w:rFonts w:hint="eastAsia"/>
          <w:sz w:val="24"/>
        </w:rPr>
        <w:t xml:space="preserve"> leverag</w:t>
      </w:r>
      <w:r>
        <w:rPr>
          <w:sz w:val="24"/>
        </w:rPr>
        <w:t>ing</w:t>
      </w:r>
      <w:r>
        <w:rPr>
          <w:rFonts w:hint="eastAsia"/>
          <w:sz w:val="24"/>
        </w:rPr>
        <w:t xml:space="preserve"> </w:t>
      </w:r>
      <w:r>
        <w:rPr>
          <w:sz w:val="24"/>
        </w:rPr>
        <w:t>is still</w:t>
      </w:r>
      <w:r>
        <w:rPr>
          <w:rFonts w:hint="eastAsia"/>
          <w:sz w:val="24"/>
        </w:rPr>
        <w:t xml:space="preserve"> elevated, and the debt burden of enterprises, especially state-owned enterprises, </w:t>
      </w:r>
      <w:r>
        <w:rPr>
          <w:sz w:val="24"/>
        </w:rPr>
        <w:t>remains</w:t>
      </w:r>
      <w:r>
        <w:rPr>
          <w:rFonts w:hint="eastAsia"/>
          <w:sz w:val="24"/>
        </w:rPr>
        <w:t xml:space="preserve"> heavy. </w:t>
      </w:r>
      <w:r>
        <w:rPr>
          <w:sz w:val="24"/>
        </w:rPr>
        <w:t>I</w:t>
      </w:r>
      <w:r>
        <w:rPr>
          <w:rFonts w:hint="eastAsia"/>
          <w:sz w:val="24"/>
        </w:rPr>
        <w:t xml:space="preserve">t is a must to </w:t>
      </w:r>
      <w:r>
        <w:rPr>
          <w:sz w:val="24"/>
        </w:rPr>
        <w:t xml:space="preserve">be </w:t>
      </w:r>
      <w:r>
        <w:rPr>
          <w:rFonts w:hint="eastAsia"/>
          <w:sz w:val="24"/>
        </w:rPr>
        <w:t>ready to protect against risks, focus on problem</w:t>
      </w:r>
      <w:r>
        <w:rPr>
          <w:sz w:val="24"/>
        </w:rPr>
        <w:t>-</w:t>
      </w:r>
      <w:r>
        <w:rPr>
          <w:rFonts w:hint="eastAsia"/>
          <w:sz w:val="24"/>
        </w:rPr>
        <w:t xml:space="preserve">solving, and address the most acute problems. It is </w:t>
      </w:r>
      <w:r>
        <w:rPr>
          <w:sz w:val="24"/>
        </w:rPr>
        <w:t>necessary</w:t>
      </w:r>
      <w:r>
        <w:rPr>
          <w:rFonts w:hint="eastAsia"/>
          <w:sz w:val="24"/>
        </w:rPr>
        <w:t xml:space="preserve"> to understand that the economy has </w:t>
      </w:r>
      <w:r>
        <w:rPr>
          <w:sz w:val="24"/>
        </w:rPr>
        <w:t xml:space="preserve">essentially </w:t>
      </w:r>
      <w:r>
        <w:rPr>
          <w:rFonts w:hint="eastAsia"/>
          <w:sz w:val="24"/>
        </w:rPr>
        <w:t xml:space="preserve">moved from a high-growth phase to a period of high-quality development, and thus efforts </w:t>
      </w:r>
      <w:r>
        <w:rPr>
          <w:sz w:val="24"/>
        </w:rPr>
        <w:t>must</w:t>
      </w:r>
      <w:r>
        <w:rPr>
          <w:rFonts w:hint="eastAsia"/>
          <w:sz w:val="24"/>
        </w:rPr>
        <w:t xml:space="preserve"> be made to advance supply-side structural reform</w:t>
      </w:r>
      <w:r>
        <w:rPr>
          <w:sz w:val="24"/>
        </w:rPr>
        <w:t>s</w:t>
      </w:r>
      <w:r>
        <w:rPr>
          <w:rFonts w:hint="eastAsia"/>
          <w:sz w:val="24"/>
        </w:rPr>
        <w:t>, improve the quality and efficiency of the supply system, continue measures designed to remove excess capacity in a market-oriented and law-biding manner, reduce inventor</w:t>
      </w:r>
      <w:r>
        <w:rPr>
          <w:sz w:val="24"/>
        </w:rPr>
        <w:t>ies,</w:t>
      </w:r>
      <w:r>
        <w:rPr>
          <w:rFonts w:hint="eastAsia"/>
          <w:sz w:val="24"/>
        </w:rPr>
        <w:t xml:space="preserve"> leverag</w:t>
      </w:r>
      <w:r>
        <w:rPr>
          <w:sz w:val="24"/>
        </w:rPr>
        <w:t>ing,</w:t>
      </w:r>
      <w:r>
        <w:rPr>
          <w:rFonts w:hint="eastAsia"/>
          <w:sz w:val="24"/>
        </w:rPr>
        <w:t xml:space="preserve"> and cost</w:t>
      </w:r>
      <w:r>
        <w:rPr>
          <w:sz w:val="24"/>
        </w:rPr>
        <w:t>s</w:t>
      </w:r>
      <w:r>
        <w:rPr>
          <w:rFonts w:hint="eastAsia"/>
          <w:sz w:val="24"/>
        </w:rPr>
        <w:t xml:space="preserve">, shore up weak points, and win the three </w:t>
      </w:r>
      <w:r>
        <w:rPr>
          <w:sz w:val="24"/>
        </w:rPr>
        <w:t>difficult</w:t>
      </w:r>
      <w:r>
        <w:rPr>
          <w:rFonts w:hint="eastAsia"/>
          <w:sz w:val="24"/>
        </w:rPr>
        <w:t xml:space="preserve"> battles of </w:t>
      </w:r>
      <w:r>
        <w:rPr>
          <w:sz w:val="24"/>
        </w:rPr>
        <w:t>resolving</w:t>
      </w:r>
      <w:r>
        <w:rPr>
          <w:rFonts w:hint="eastAsia"/>
          <w:sz w:val="24"/>
        </w:rPr>
        <w:t xml:space="preserve"> major risks, implementing targeted poverty reduction</w:t>
      </w:r>
      <w:r>
        <w:rPr>
          <w:sz w:val="24"/>
        </w:rPr>
        <w:t>,</w:t>
      </w:r>
      <w:r>
        <w:rPr>
          <w:rFonts w:hint="eastAsia"/>
          <w:sz w:val="24"/>
        </w:rPr>
        <w:t xml:space="preserve"> and furthering pollution prevention and treatment. </w:t>
      </w:r>
      <w:r>
        <w:rPr>
          <w:sz w:val="24"/>
        </w:rPr>
        <w:t>E</w:t>
      </w:r>
      <w:r>
        <w:rPr>
          <w:rFonts w:hint="eastAsia"/>
          <w:sz w:val="24"/>
        </w:rPr>
        <w:t xml:space="preserve">fforts are needed to maintain </w:t>
      </w:r>
      <w:r>
        <w:rPr>
          <w:sz w:val="24"/>
        </w:rPr>
        <w:t>overall</w:t>
      </w:r>
      <w:r>
        <w:rPr>
          <w:rFonts w:hint="eastAsia"/>
          <w:sz w:val="24"/>
        </w:rPr>
        <w:t xml:space="preserve"> stability, promote high-quality development, improve total factor productivity, and advance </w:t>
      </w:r>
      <w:r>
        <w:rPr>
          <w:sz w:val="24"/>
        </w:rPr>
        <w:t xml:space="preserve">the </w:t>
      </w:r>
      <w:r>
        <w:rPr>
          <w:rFonts w:hint="eastAsia"/>
          <w:sz w:val="24"/>
        </w:rPr>
        <w:t xml:space="preserve">reform and opening-up in a more proactive manner. </w:t>
      </w:r>
    </w:p>
    <w:p>
      <w:pPr>
        <w:rPr>
          <w:sz w:val="24"/>
        </w:rPr>
      </w:pPr>
    </w:p>
    <w:p>
      <w:pPr>
        <w:rPr>
          <w:sz w:val="24"/>
        </w:rPr>
      </w:pPr>
      <w:r>
        <w:rPr>
          <w:b/>
          <w:sz w:val="24"/>
        </w:rPr>
        <w:t>P</w:t>
      </w:r>
      <w:r>
        <w:rPr>
          <w:rFonts w:hint="eastAsia"/>
          <w:b/>
          <w:sz w:val="24"/>
        </w:rPr>
        <w:t xml:space="preserve">rices </w:t>
      </w:r>
      <w:r>
        <w:rPr>
          <w:b/>
          <w:sz w:val="24"/>
        </w:rPr>
        <w:t>are</w:t>
      </w:r>
      <w:r>
        <w:rPr>
          <w:rFonts w:hint="eastAsia"/>
          <w:b/>
          <w:sz w:val="24"/>
        </w:rPr>
        <w:t xml:space="preserve"> generally stable.</w:t>
      </w:r>
      <w:r>
        <w:rPr>
          <w:rFonts w:hint="eastAsia"/>
          <w:sz w:val="24"/>
        </w:rPr>
        <w:t xml:space="preserve"> The pace of price hikes is determined by the fundamentals and the relative changes in supply and demand. Global</w:t>
      </w:r>
      <w:r>
        <w:rPr>
          <w:sz w:val="24"/>
        </w:rPr>
        <w:t>ly,</w:t>
      </w:r>
      <w:r>
        <w:rPr>
          <w:rFonts w:hint="eastAsia"/>
          <w:sz w:val="24"/>
        </w:rPr>
        <w:t xml:space="preserve"> inflation in </w:t>
      </w:r>
      <w:r>
        <w:rPr>
          <w:sz w:val="24"/>
        </w:rPr>
        <w:t xml:space="preserve">the </w:t>
      </w:r>
      <w:r>
        <w:rPr>
          <w:rFonts w:hint="eastAsia"/>
          <w:sz w:val="24"/>
        </w:rPr>
        <w:t xml:space="preserve">major economies has gone up slightly, albeit still at a subdued level. </w:t>
      </w:r>
      <w:r>
        <w:rPr>
          <w:sz w:val="24"/>
        </w:rPr>
        <w:t>D</w:t>
      </w:r>
      <w:r>
        <w:rPr>
          <w:rFonts w:hint="eastAsia"/>
          <w:sz w:val="24"/>
        </w:rPr>
        <w:t xml:space="preserve">omestically, the steadily growing economy and </w:t>
      </w:r>
      <w:r>
        <w:rPr>
          <w:sz w:val="24"/>
        </w:rPr>
        <w:t xml:space="preserve">the </w:t>
      </w:r>
      <w:r>
        <w:rPr>
          <w:rFonts w:hint="eastAsia"/>
          <w:sz w:val="24"/>
        </w:rPr>
        <w:t>increased production of some agricultural products will help keep price levels stable. Nevertheless, due to various factors such as</w:t>
      </w:r>
      <w:r>
        <w:rPr>
          <w:sz w:val="24"/>
        </w:rPr>
        <w:t xml:space="preserve"> the removal of</w:t>
      </w:r>
      <w:r>
        <w:rPr>
          <w:rFonts w:hint="eastAsia"/>
          <w:sz w:val="24"/>
        </w:rPr>
        <w:t xml:space="preserve"> excess capacity, environmental protection</w:t>
      </w:r>
      <w:r>
        <w:rPr>
          <w:sz w:val="24"/>
        </w:rPr>
        <w:t xml:space="preserve"> inspections</w:t>
      </w:r>
      <w:r>
        <w:rPr>
          <w:rFonts w:hint="eastAsia"/>
          <w:sz w:val="24"/>
        </w:rPr>
        <w:t xml:space="preserve">, </w:t>
      </w:r>
      <w:r>
        <w:rPr>
          <w:sz w:val="24"/>
        </w:rPr>
        <w:t xml:space="preserve">the rebounding of </w:t>
      </w:r>
      <w:r>
        <w:rPr>
          <w:rFonts w:hint="eastAsia"/>
          <w:sz w:val="24"/>
        </w:rPr>
        <w:t>commodit</w:t>
      </w:r>
      <w:r>
        <w:rPr>
          <w:sz w:val="24"/>
        </w:rPr>
        <w:t>y</w:t>
      </w:r>
      <w:r>
        <w:rPr>
          <w:rFonts w:hint="eastAsia"/>
          <w:sz w:val="24"/>
        </w:rPr>
        <w:t xml:space="preserve"> price</w:t>
      </w:r>
      <w:r>
        <w:rPr>
          <w:sz w:val="24"/>
        </w:rPr>
        <w:t>s,</w:t>
      </w:r>
      <w:r>
        <w:rPr>
          <w:rFonts w:hint="eastAsia"/>
          <w:sz w:val="24"/>
        </w:rPr>
        <w:t xml:space="preserve"> and </w:t>
      </w:r>
      <w:r>
        <w:rPr>
          <w:sz w:val="24"/>
        </w:rPr>
        <w:t>slightly</w:t>
      </w:r>
      <w:r>
        <w:rPr>
          <w:rFonts w:hint="eastAsia"/>
          <w:sz w:val="24"/>
        </w:rPr>
        <w:t xml:space="preserve"> greater tail effects in 2018, some price indices might grow, but in general </w:t>
      </w:r>
      <w:r>
        <w:rPr>
          <w:sz w:val="24"/>
        </w:rPr>
        <w:t>inflationary</w:t>
      </w:r>
      <w:r>
        <w:rPr>
          <w:rFonts w:hint="eastAsia"/>
          <w:sz w:val="24"/>
        </w:rPr>
        <w:t xml:space="preserve"> pressures </w:t>
      </w:r>
      <w:r>
        <w:rPr>
          <w:sz w:val="24"/>
        </w:rPr>
        <w:t xml:space="preserve">will </w:t>
      </w:r>
      <w:r>
        <w:rPr>
          <w:rFonts w:hint="eastAsia"/>
          <w:sz w:val="24"/>
        </w:rPr>
        <w:t xml:space="preserve">remain well anchored. </w:t>
      </w:r>
      <w:r>
        <w:rPr>
          <w:rFonts w:eastAsia="Times New Roman"/>
          <w:sz w:val="24"/>
        </w:rPr>
        <w:t xml:space="preserve">According to the </w:t>
      </w:r>
      <w:r>
        <w:rPr>
          <w:rFonts w:hint="eastAsia"/>
          <w:sz w:val="24"/>
        </w:rPr>
        <w:t xml:space="preserve">Q1 </w:t>
      </w:r>
      <w:r>
        <w:rPr>
          <w:rFonts w:eastAsia="Times New Roman"/>
          <w:iCs/>
          <w:sz w:val="24"/>
        </w:rPr>
        <w:t>Urban Depositors</w:t>
      </w:r>
      <w:r>
        <w:rPr>
          <w:rFonts w:hint="eastAsia" w:eastAsia="Times New Roman"/>
          <w:iCs/>
          <w:sz w:val="24"/>
        </w:rPr>
        <w:t>’</w:t>
      </w:r>
      <w:r>
        <w:rPr>
          <w:rFonts w:eastAsia="Times New Roman"/>
          <w:iCs/>
          <w:sz w:val="24"/>
        </w:rPr>
        <w:t xml:space="preserve"> Survey</w:t>
      </w:r>
      <w:r>
        <w:rPr>
          <w:rFonts w:eastAsia="Times New Roman"/>
          <w:sz w:val="24"/>
        </w:rPr>
        <w:t xml:space="preserve"> conducted by the PBC</w:t>
      </w:r>
      <w:r>
        <w:rPr>
          <w:sz w:val="24"/>
        </w:rPr>
        <w:t xml:space="preserve">, </w:t>
      </w:r>
      <w:r>
        <w:rPr>
          <w:rFonts w:eastAsia="Times New Roman"/>
          <w:sz w:val="24"/>
        </w:rPr>
        <w:t>the Future Price Expectation Index</w:t>
      </w:r>
      <w:r>
        <w:rPr>
          <w:sz w:val="24"/>
        </w:rPr>
        <w:t xml:space="preserve"> </w:t>
      </w:r>
      <w:r>
        <w:rPr>
          <w:rFonts w:hint="eastAsia"/>
          <w:sz w:val="24"/>
        </w:rPr>
        <w:t>dropped by 4.7</w:t>
      </w:r>
      <w:r>
        <w:rPr>
          <w:rFonts w:eastAsia="Times New Roman"/>
          <w:sz w:val="24"/>
        </w:rPr>
        <w:t xml:space="preserve"> percentage point</w:t>
      </w:r>
      <w:r>
        <w:rPr>
          <w:rFonts w:hint="eastAsia"/>
          <w:sz w:val="24"/>
        </w:rPr>
        <w:t>s</w:t>
      </w:r>
      <w:r>
        <w:rPr>
          <w:rFonts w:eastAsia="Times New Roman"/>
          <w:sz w:val="24"/>
        </w:rPr>
        <w:t xml:space="preserve"> from the previous quarter</w:t>
      </w:r>
      <w:r>
        <w:rPr>
          <w:sz w:val="24"/>
        </w:rPr>
        <w:t xml:space="preserve">. </w:t>
      </w:r>
      <w:r>
        <w:rPr>
          <w:rFonts w:hint="eastAsia"/>
          <w:sz w:val="24"/>
        </w:rPr>
        <w:t>It is necessary to continue to monitor potential uncertainties</w:t>
      </w:r>
      <w:r>
        <w:rPr>
          <w:sz w:val="24"/>
        </w:rPr>
        <w:t xml:space="preserve"> in the future. </w:t>
      </w:r>
    </w:p>
    <w:p>
      <w:pPr>
        <w:rPr>
          <w:sz w:val="24"/>
        </w:rPr>
      </w:pPr>
    </w:p>
    <w:p>
      <w:pPr>
        <w:pStyle w:val="26"/>
        <w:keepNext/>
        <w:pBdr>
          <w:top w:val="none" w:color="auto" w:sz="0" w:space="0"/>
          <w:left w:val="none" w:color="auto" w:sz="0" w:space="0"/>
          <w:bottom w:val="none" w:color="auto" w:sz="0" w:space="0"/>
          <w:right w:val="none" w:color="auto" w:sz="0" w:space="0"/>
        </w:pBdr>
        <w:shd w:val="clear" w:color="auto" w:fill="CCFFCC"/>
        <w:spacing w:before="156" w:after="156"/>
        <w:rPr>
          <w:rFonts w:hint="default" w:ascii="Times New Roman"/>
          <w:b/>
          <w:bCs w:val="0"/>
          <w:sz w:val="24"/>
        </w:rPr>
      </w:pPr>
      <w:bookmarkStart w:id="141" w:name="_Toc517191136"/>
      <w:r>
        <w:rPr>
          <w:rFonts w:hint="default" w:ascii="Times New Roman"/>
          <w:b/>
          <w:bCs w:val="0"/>
          <w:sz w:val="24"/>
        </w:rPr>
        <w:t xml:space="preserve">Box </w:t>
      </w:r>
      <w:r>
        <w:rPr>
          <w:rFonts w:hint="default" w:ascii="Times New Roman"/>
          <w:b/>
          <w:bCs w:val="0"/>
          <w:sz w:val="24"/>
        </w:rPr>
        <w:fldChar w:fldCharType="begin"/>
      </w:r>
      <w:r>
        <w:rPr>
          <w:rFonts w:hint="default" w:ascii="Times New Roman"/>
          <w:b/>
          <w:bCs w:val="0"/>
          <w:sz w:val="24"/>
        </w:rPr>
        <w:instrText xml:space="preserve"> SEQ Box \* ARABIC </w:instrText>
      </w:r>
      <w:r>
        <w:rPr>
          <w:rFonts w:hint="default" w:ascii="Times New Roman"/>
          <w:b/>
          <w:bCs w:val="0"/>
          <w:sz w:val="24"/>
        </w:rPr>
        <w:fldChar w:fldCharType="separate"/>
      </w:r>
      <w:r>
        <w:rPr>
          <w:rFonts w:hint="default" w:ascii="Times New Roman"/>
          <w:b/>
          <w:bCs w:val="0"/>
          <w:sz w:val="24"/>
        </w:rPr>
        <w:t>4</w:t>
      </w:r>
      <w:r>
        <w:rPr>
          <w:rFonts w:hint="default" w:ascii="Times New Roman"/>
          <w:b/>
          <w:bCs w:val="0"/>
          <w:sz w:val="24"/>
        </w:rPr>
        <w:fldChar w:fldCharType="end"/>
      </w:r>
      <w:r>
        <w:rPr>
          <w:rFonts w:ascii="Times New Roman"/>
          <w:b/>
          <w:bCs w:val="0"/>
          <w:sz w:val="24"/>
        </w:rPr>
        <w:t xml:space="preserve"> Latest Developments in China’s Macro Leverage Ratio</w:t>
      </w:r>
      <w:bookmarkEnd w:id="141"/>
    </w:p>
    <w:p>
      <w:pPr>
        <w:shd w:val="clear" w:color="auto" w:fill="CCFFCC"/>
        <w:rPr>
          <w:sz w:val="24"/>
        </w:rPr>
      </w:pPr>
      <w:r>
        <w:rPr>
          <w:sz w:val="24"/>
        </w:rPr>
        <w:t xml:space="preserve">The macro leverage ratio is usually measured by the ratio </w:t>
      </w:r>
      <w:r>
        <w:rPr>
          <w:rFonts w:hint="eastAsia"/>
          <w:sz w:val="24"/>
        </w:rPr>
        <w:t xml:space="preserve">of </w:t>
      </w:r>
      <w:r>
        <w:rPr>
          <w:sz w:val="24"/>
        </w:rPr>
        <w:t>the combined outstanding debt of the non-financial corporate sector</w:t>
      </w:r>
      <w:r>
        <w:rPr>
          <w:rFonts w:hint="eastAsia"/>
          <w:sz w:val="24"/>
        </w:rPr>
        <w:t xml:space="preserve"> </w:t>
      </w:r>
      <w:r>
        <w:rPr>
          <w:sz w:val="24"/>
        </w:rPr>
        <w:t xml:space="preserve">(the corporate sector), the government sector, and the household sector to the gross domestic product (GDP). The debt of the three sectors is usually incurred through financial markets or financial institutions. Specifically, </w:t>
      </w:r>
      <w:r>
        <w:rPr>
          <w:rFonts w:hint="eastAsia"/>
          <w:sz w:val="24"/>
        </w:rPr>
        <w:t>corporate</w:t>
      </w:r>
      <w:r>
        <w:rPr>
          <w:sz w:val="24"/>
        </w:rPr>
        <w:t xml:space="preserve"> debt includes domestic borrowing denominated in domestic and foreign currencies, bonds publicly placed on onshore market</w:t>
      </w:r>
      <w:r>
        <w:rPr>
          <w:rFonts w:hint="eastAsia"/>
          <w:sz w:val="24"/>
        </w:rPr>
        <w:t>s</w:t>
      </w:r>
      <w:r>
        <w:rPr>
          <w:sz w:val="24"/>
        </w:rPr>
        <w:t>, entrusted and trust loans, undiscounted bankers’ acceptances, and external borrowing; government debt is the combined borrowing of the central and local governments, with the latter including local government bonds and the stock of non-bond local government debt at end</w:t>
      </w:r>
      <w:r>
        <w:rPr>
          <w:rFonts w:hint="eastAsia"/>
          <w:sz w:val="24"/>
        </w:rPr>
        <w:t>-</w:t>
      </w:r>
      <w:r>
        <w:rPr>
          <w:sz w:val="24"/>
        </w:rPr>
        <w:t xml:space="preserve">2014 identified as a result of sorting; household debt includes loans and entrusted loans (mainly housing provident fund loans) from financial institutions, and margin financing from securities companies. In the </w:t>
      </w:r>
      <w:r>
        <w:rPr>
          <w:rFonts w:hint="eastAsia" w:eastAsiaTheme="minorEastAsia"/>
          <w:sz w:val="24"/>
        </w:rPr>
        <w:t>measurement</w:t>
      </w:r>
      <w:r>
        <w:rPr>
          <w:sz w:val="24"/>
        </w:rPr>
        <w:t>s</w:t>
      </w:r>
      <w:r>
        <w:rPr>
          <w:rFonts w:hint="eastAsia" w:eastAsiaTheme="minorEastAsia"/>
          <w:sz w:val="24"/>
        </w:rPr>
        <w:t xml:space="preserve"> of debt</w:t>
      </w:r>
      <w:r>
        <w:rPr>
          <w:sz w:val="24"/>
        </w:rPr>
        <w:t>, the amount of cross-holding debt should be removed to avoid repeated inclusion. For example, in some cases, policy financial bonds and external borrowing in the financial sector were included in the outstanding debt of the non-financial sector while in other cases, shadow-banking, which was already repeatedly included in various sectors’ borrowing, was treated in aggregate as debt. There w</w:t>
      </w:r>
      <w:r>
        <w:rPr>
          <w:rFonts w:hint="eastAsia"/>
          <w:sz w:val="24"/>
        </w:rPr>
        <w:t>ere</w:t>
      </w:r>
      <w:r>
        <w:rPr>
          <w:sz w:val="24"/>
        </w:rPr>
        <w:t xml:space="preserve"> also cases where government-sponsored bonds and borrowing by local government financing platforms were simultaneously included in both government and corporate debt. All these would affect the accuracy of the measurement of the macro leverage ratio.</w:t>
      </w:r>
    </w:p>
    <w:p>
      <w:pPr>
        <w:shd w:val="clear" w:color="auto" w:fill="CCFFCC"/>
        <w:rPr>
          <w:sz w:val="24"/>
        </w:rPr>
      </w:pPr>
    </w:p>
    <w:p>
      <w:pPr>
        <w:shd w:val="clear" w:color="auto" w:fill="CCFFCC"/>
        <w:rPr>
          <w:rFonts w:eastAsia="楷体_GB2312"/>
          <w:sz w:val="24"/>
        </w:rPr>
      </w:pPr>
      <w:r>
        <w:rPr>
          <w:b/>
          <w:sz w:val="24"/>
        </w:rPr>
        <w:t>The macro leverage ratio stabilized in 2017.</w:t>
      </w:r>
      <w:r>
        <w:rPr>
          <w:sz w:val="24"/>
        </w:rPr>
        <w:t xml:space="preserve"> Before 2017, the macro leverage ratio experienced a period of rapid growth, up an average of 13.</w:t>
      </w:r>
      <w:r>
        <w:rPr>
          <w:rFonts w:hint="eastAsia" w:eastAsiaTheme="minorEastAsia"/>
          <w:sz w:val="24"/>
        </w:rPr>
        <w:t>5</w:t>
      </w:r>
      <w:r>
        <w:rPr>
          <w:sz w:val="24"/>
        </w:rPr>
        <w:t xml:space="preserve"> percentage points between 2012 and 2016. With the deepening of the supply-side structural reforms, the stable and strong momentum of macroeconomic performance, and the effective implementation of a sound and neutral monetary policy, the growth of the macro leverage ratio </w:t>
      </w:r>
      <w:r>
        <w:rPr>
          <w:rFonts w:eastAsia="楷体_GB2312"/>
          <w:sz w:val="24"/>
        </w:rPr>
        <w:t xml:space="preserve">moderated </w:t>
      </w:r>
      <w:r>
        <w:rPr>
          <w:sz w:val="24"/>
        </w:rPr>
        <w:t>notably</w:t>
      </w:r>
      <w:r>
        <w:rPr>
          <w:rFonts w:eastAsia="楷体_GB2312"/>
          <w:sz w:val="24"/>
        </w:rPr>
        <w:t xml:space="preserve"> in 2017, up 2.</w:t>
      </w:r>
      <w:r>
        <w:rPr>
          <w:rFonts w:hint="eastAsia" w:eastAsiaTheme="minorEastAsia"/>
          <w:sz w:val="24"/>
        </w:rPr>
        <w:t>7</w:t>
      </w:r>
      <w:r>
        <w:rPr>
          <w:rFonts w:eastAsia="楷体_GB2312"/>
          <w:sz w:val="24"/>
        </w:rPr>
        <w:t xml:space="preserve"> percentage points to 2</w:t>
      </w:r>
      <w:r>
        <w:rPr>
          <w:rFonts w:hint="eastAsia" w:eastAsiaTheme="minorEastAsia"/>
          <w:sz w:val="24"/>
        </w:rPr>
        <w:t>50</w:t>
      </w:r>
      <w:r>
        <w:rPr>
          <w:rFonts w:eastAsia="楷体_GB2312"/>
          <w:sz w:val="24"/>
        </w:rPr>
        <w:t>.</w:t>
      </w:r>
      <w:r>
        <w:rPr>
          <w:rFonts w:hint="eastAsia" w:eastAsiaTheme="minorEastAsia"/>
          <w:sz w:val="24"/>
        </w:rPr>
        <w:t>3</w:t>
      </w:r>
      <w:r>
        <w:rPr>
          <w:rFonts w:eastAsia="楷体_GB2312"/>
          <w:sz w:val="24"/>
        </w:rPr>
        <w:t xml:space="preserve"> percent. In particular, the leverage ratio of the corporate sector was 1</w:t>
      </w:r>
      <w:r>
        <w:rPr>
          <w:rFonts w:hint="eastAsia" w:eastAsiaTheme="minorEastAsia"/>
          <w:sz w:val="24"/>
        </w:rPr>
        <w:t>59</w:t>
      </w:r>
      <w:r>
        <w:rPr>
          <w:rFonts w:eastAsia="楷体_GB2312"/>
          <w:sz w:val="24"/>
        </w:rPr>
        <w:t xml:space="preserve"> percent, down </w:t>
      </w:r>
      <w:r>
        <w:rPr>
          <w:rFonts w:hint="eastAsia" w:eastAsiaTheme="minorEastAsia"/>
          <w:sz w:val="24"/>
        </w:rPr>
        <w:t xml:space="preserve">0.7 </w:t>
      </w:r>
      <w:r>
        <w:rPr>
          <w:rFonts w:eastAsia="楷体_GB2312"/>
          <w:sz w:val="24"/>
        </w:rPr>
        <w:t>percentage point year on year, the first reduction since 2011, after increasing an average of 8.</w:t>
      </w:r>
      <w:r>
        <w:rPr>
          <w:rFonts w:hint="eastAsia" w:eastAsiaTheme="minorEastAsia"/>
          <w:sz w:val="24"/>
        </w:rPr>
        <w:t>3</w:t>
      </w:r>
      <w:r>
        <w:rPr>
          <w:rFonts w:eastAsia="楷体_GB2312"/>
          <w:sz w:val="24"/>
        </w:rPr>
        <w:t xml:space="preserve"> percentage points annually between 2012 and 2016. The leverage ratio of the government sector was 36.</w:t>
      </w:r>
      <w:r>
        <w:rPr>
          <w:rFonts w:hint="eastAsia" w:eastAsiaTheme="minorEastAsia"/>
          <w:sz w:val="24"/>
        </w:rPr>
        <w:t>2</w:t>
      </w:r>
      <w:r>
        <w:rPr>
          <w:rFonts w:eastAsia="楷体_GB2312"/>
          <w:sz w:val="24"/>
        </w:rPr>
        <w:t xml:space="preserve"> percent, down 0.</w:t>
      </w:r>
      <w:r>
        <w:rPr>
          <w:rFonts w:hint="eastAsia" w:eastAsiaTheme="minorEastAsia"/>
          <w:sz w:val="24"/>
        </w:rPr>
        <w:t xml:space="preserve">5 </w:t>
      </w:r>
      <w:r>
        <w:rPr>
          <w:rFonts w:eastAsia="楷体_GB2312"/>
          <w:sz w:val="24"/>
        </w:rPr>
        <w:t xml:space="preserve">percentage point year on year, in contrast to the average annual 1.1 percentage-point growth between 2012 and 2016. The leverage ratio of the household sector was </w:t>
      </w:r>
      <w:r>
        <w:rPr>
          <w:rFonts w:hint="eastAsia" w:eastAsiaTheme="minorEastAsia"/>
          <w:sz w:val="24"/>
        </w:rPr>
        <w:t>55.1</w:t>
      </w:r>
      <w:r>
        <w:rPr>
          <w:rFonts w:eastAsia="楷体_GB2312"/>
          <w:sz w:val="24"/>
        </w:rPr>
        <w:t xml:space="preserve"> percent, up 4 percentage points year on year, a</w:t>
      </w:r>
      <w:r>
        <w:rPr>
          <w:rFonts w:hint="eastAsia" w:eastAsiaTheme="minorEastAsia"/>
          <w:sz w:val="24"/>
        </w:rPr>
        <w:t>n</w:t>
      </w:r>
      <w:r>
        <w:rPr>
          <w:rFonts w:eastAsia="楷体_GB2312"/>
          <w:sz w:val="24"/>
        </w:rPr>
        <w:t xml:space="preserve"> </w:t>
      </w:r>
      <w:r>
        <w:rPr>
          <w:rFonts w:hint="eastAsia" w:eastAsiaTheme="minorEastAsia"/>
          <w:sz w:val="24"/>
        </w:rPr>
        <w:t>decrease</w:t>
      </w:r>
      <w:r>
        <w:rPr>
          <w:rFonts w:eastAsia="楷体_GB2312"/>
          <w:sz w:val="24"/>
        </w:rPr>
        <w:t xml:space="preserve"> of 0.</w:t>
      </w:r>
      <w:r>
        <w:rPr>
          <w:rFonts w:hint="eastAsia" w:eastAsiaTheme="minorEastAsia"/>
          <w:sz w:val="24"/>
        </w:rPr>
        <w:t>1</w:t>
      </w:r>
      <w:r>
        <w:rPr>
          <w:rFonts w:eastAsia="楷体_GB2312"/>
          <w:sz w:val="24"/>
        </w:rPr>
        <w:t xml:space="preserve"> percentage point from the average annual growth between 2012 and 2016. </w:t>
      </w:r>
    </w:p>
    <w:p>
      <w:pPr>
        <w:shd w:val="clear" w:color="auto" w:fill="CCFFCC"/>
        <w:rPr>
          <w:rFonts w:eastAsia="楷体_GB2312"/>
          <w:sz w:val="24"/>
        </w:rPr>
      </w:pPr>
    </w:p>
    <w:p>
      <w:pPr>
        <w:shd w:val="clear" w:color="auto" w:fill="CCFFCC"/>
        <w:rPr>
          <w:rFonts w:eastAsia="楷体_GB2312"/>
          <w:sz w:val="24"/>
        </w:rPr>
      </w:pPr>
      <w:r>
        <w:rPr>
          <w:rFonts w:hint="eastAsia" w:eastAsia="楷体_GB2312"/>
          <w:b/>
          <w:sz w:val="24"/>
        </w:rPr>
        <w:t>A number of important</w:t>
      </w:r>
      <w:r>
        <w:rPr>
          <w:rFonts w:eastAsia="楷体_GB2312"/>
          <w:b/>
          <w:sz w:val="24"/>
        </w:rPr>
        <w:t xml:space="preserve"> factors </w:t>
      </w:r>
      <w:r>
        <w:rPr>
          <w:rFonts w:hint="eastAsia" w:eastAsia="楷体_GB2312"/>
          <w:b/>
          <w:sz w:val="24"/>
        </w:rPr>
        <w:t>contributed to</w:t>
      </w:r>
      <w:r>
        <w:rPr>
          <w:rFonts w:eastAsia="楷体_GB2312"/>
          <w:b/>
          <w:sz w:val="24"/>
        </w:rPr>
        <w:t xml:space="preserve"> the stabilization of the macro leverage ratio</w:t>
      </w:r>
      <w:r>
        <w:rPr>
          <w:rFonts w:hint="eastAsia" w:eastAsia="楷体_GB2312"/>
          <w:b/>
          <w:sz w:val="24"/>
        </w:rPr>
        <w:t>.</w:t>
      </w:r>
      <w:r>
        <w:rPr>
          <w:rFonts w:eastAsia="楷体_GB2312"/>
          <w:sz w:val="24"/>
        </w:rPr>
        <w:t xml:space="preserve"> </w:t>
      </w:r>
      <w:r>
        <w:rPr>
          <w:rFonts w:hint="eastAsia" w:eastAsia="楷体_GB2312"/>
          <w:sz w:val="24"/>
        </w:rPr>
        <w:t>T</w:t>
      </w:r>
      <w:r>
        <w:rPr>
          <w:rFonts w:eastAsia="楷体_GB2312"/>
          <w:sz w:val="24"/>
        </w:rPr>
        <w:t>he first is the notable progress in the supply-side structural reforms. Moreover, with the fairly strong growth of the world economy</w:t>
      </w:r>
      <w:r>
        <w:rPr>
          <w:rFonts w:hint="eastAsia" w:eastAsia="楷体_GB2312"/>
          <w:sz w:val="24"/>
        </w:rPr>
        <w:t>,</w:t>
      </w:r>
      <w:r>
        <w:rPr>
          <w:rFonts w:eastAsia="楷体_GB2312"/>
          <w:sz w:val="24"/>
        </w:rPr>
        <w:t xml:space="preserve"> China’s performance was strengthening</w:t>
      </w:r>
      <w:r>
        <w:rPr>
          <w:rFonts w:hint="eastAsia" w:eastAsia="楷体_GB2312"/>
          <w:sz w:val="24"/>
        </w:rPr>
        <w:t>,</w:t>
      </w:r>
      <w:r>
        <w:rPr>
          <w:rFonts w:eastAsia="楷体_GB2312"/>
          <w:sz w:val="24"/>
        </w:rPr>
        <w:t xml:space="preserve"> </w:t>
      </w:r>
      <w:r>
        <w:rPr>
          <w:rFonts w:hint="eastAsia" w:eastAsia="楷体_GB2312"/>
          <w:sz w:val="24"/>
        </w:rPr>
        <w:t>leading to</w:t>
      </w:r>
      <w:r>
        <w:rPr>
          <w:rFonts w:eastAsia="楷体_GB2312"/>
          <w:sz w:val="24"/>
        </w:rPr>
        <w:t xml:space="preserve"> relatively rapid increase</w:t>
      </w:r>
      <w:r>
        <w:rPr>
          <w:rFonts w:hint="eastAsia" w:eastAsia="楷体_GB2312"/>
          <w:sz w:val="24"/>
        </w:rPr>
        <w:t>s</w:t>
      </w:r>
      <w:r>
        <w:rPr>
          <w:rFonts w:eastAsia="楷体_GB2312"/>
          <w:sz w:val="24"/>
        </w:rPr>
        <w:t xml:space="preserve"> in corporate profits, fiscal revenue, and household income</w:t>
      </w:r>
      <w:r>
        <w:rPr>
          <w:rFonts w:hint="eastAsia" w:eastAsia="楷体_GB2312"/>
          <w:sz w:val="24"/>
        </w:rPr>
        <w:t>,</w:t>
      </w:r>
      <w:r>
        <w:rPr>
          <w:rFonts w:eastAsia="楷体_GB2312"/>
          <w:sz w:val="24"/>
        </w:rPr>
        <w:t xml:space="preserve"> </w:t>
      </w:r>
      <w:r>
        <w:rPr>
          <w:rFonts w:hint="eastAsia" w:eastAsia="楷体_GB2312"/>
          <w:sz w:val="24"/>
        </w:rPr>
        <w:t xml:space="preserve">which </w:t>
      </w:r>
      <w:r>
        <w:rPr>
          <w:rFonts w:eastAsia="楷体_GB2312"/>
          <w:sz w:val="24"/>
        </w:rPr>
        <w:t>helped stabilize the leverage ratio. In 2017, statistically large enterprises reported year-on-year growth in profits at 21 percent, an acceleration of 12.5 percentage points from last year; fiscal revenue increased 7.4 percent year on year, an acceleration of 2.9 percentage points from the last year; per capita disposable income was up 7.3 percent, an acceleration of 1 percentage point and outperforming GDP growth by 1 percentage point. The second factor is the effect of the sound and neutral monetary policy</w:t>
      </w:r>
      <w:r>
        <w:rPr>
          <w:rFonts w:hint="eastAsia" w:eastAsiaTheme="minorEastAsia"/>
          <w:sz w:val="24"/>
        </w:rPr>
        <w:t xml:space="preserve"> and</w:t>
      </w:r>
      <w:r>
        <w:rPr>
          <w:rFonts w:eastAsia="楷体_GB2312"/>
          <w:sz w:val="24"/>
        </w:rPr>
        <w:t xml:space="preserve"> the structural credit policy, and the </w:t>
      </w:r>
      <w:r>
        <w:rPr>
          <w:rFonts w:hint="eastAsia" w:eastAsiaTheme="minorEastAsia"/>
          <w:sz w:val="24"/>
        </w:rPr>
        <w:t xml:space="preserve">subsequent </w:t>
      </w:r>
      <w:r>
        <w:rPr>
          <w:rFonts w:eastAsia="楷体_GB2312"/>
          <w:sz w:val="24"/>
        </w:rPr>
        <w:t>reasonable growth of money and credit</w:t>
      </w:r>
      <w:r>
        <w:rPr>
          <w:rFonts w:hint="eastAsia" w:eastAsiaTheme="minorEastAsia"/>
          <w:sz w:val="24"/>
        </w:rPr>
        <w:t xml:space="preserve"> overall</w:t>
      </w:r>
      <w:r>
        <w:rPr>
          <w:rFonts w:eastAsia="楷体_GB2312"/>
          <w:sz w:val="24"/>
        </w:rPr>
        <w:t xml:space="preserve">. Affected by the efforts to contain internal leveraging in the financial system, growth of broad money M2 increased by 8.1 percent year on year, </w:t>
      </w:r>
      <w:r>
        <w:rPr>
          <w:rFonts w:hint="eastAsia" w:eastAsiaTheme="minorEastAsia"/>
          <w:sz w:val="24"/>
        </w:rPr>
        <w:t xml:space="preserve">decelerating </w:t>
      </w:r>
      <w:r>
        <w:rPr>
          <w:rFonts w:eastAsia="楷体_GB2312"/>
          <w:sz w:val="24"/>
        </w:rPr>
        <w:t xml:space="preserve">from the previous year, creating a proper monetary and financial environment for stabilizing the leverage ratio while supporting steady economic growth. Moreover, the PBC adopted effective measures to optimize the credit structure. In 2017, the outstanding medium- to long-term loans in sectors with excess capacity were down 1.7 percent year on year, </w:t>
      </w:r>
      <w:r>
        <w:rPr>
          <w:rFonts w:hint="eastAsia" w:eastAsiaTheme="minorEastAsia"/>
          <w:sz w:val="24"/>
        </w:rPr>
        <w:t xml:space="preserve">the </w:t>
      </w:r>
      <w:r>
        <w:rPr>
          <w:rFonts w:eastAsia="楷体_GB2312"/>
          <w:sz w:val="24"/>
        </w:rPr>
        <w:t>inefficient financing demand</w:t>
      </w:r>
      <w:r>
        <w:rPr>
          <w:rFonts w:hint="eastAsia" w:eastAsiaTheme="minorEastAsia"/>
          <w:sz w:val="24"/>
        </w:rPr>
        <w:t xml:space="preserve"> were contained</w:t>
      </w:r>
      <w:r>
        <w:rPr>
          <w:rFonts w:eastAsia="楷体_GB2312"/>
          <w:sz w:val="24"/>
        </w:rPr>
        <w:t>; outstanding real-estate loans were up 20.9 percent year on year, a deceleration of 6.1 percentage points from the previous year; specifically, outstanding home mortgage loans were up 22.2 percent year on year, a deceleration of 14.5 percentage points.  Against the background of financial deleveraging and enhanced financial regulation, growth of trust loans, off-balance-sheet financing and other businesses decelerated significantly. A third factor is that the conduct of local government financing guarantees faced stricter regulation, borrowing by local government financing</w:t>
      </w:r>
      <w:r>
        <w:rPr>
          <w:rFonts w:hint="eastAsia" w:eastAsia="楷体_GB2312"/>
          <w:sz w:val="24"/>
        </w:rPr>
        <w:t xml:space="preserve"> platforms</w:t>
      </w:r>
      <w:r>
        <w:rPr>
          <w:rFonts w:eastAsia="楷体_GB2312"/>
          <w:sz w:val="24"/>
        </w:rPr>
        <w:t xml:space="preserve"> and other entities with soft financial constraints were suppressed, and the growth of SOE debts moderated. In 2017</w:t>
      </w:r>
      <w:r>
        <w:rPr>
          <w:rFonts w:hint="eastAsia" w:eastAsia="楷体_GB2312"/>
          <w:sz w:val="24"/>
        </w:rPr>
        <w:t>,</w:t>
      </w:r>
      <w:r>
        <w:rPr>
          <w:rFonts w:eastAsia="楷体_GB2312"/>
          <w:sz w:val="24"/>
        </w:rPr>
        <w:t xml:space="preserve"> the combined SOE debt and outstanding bonds to GDP ratio was up 2.3 percentage points year on year, decelerating 1.5 percentage points from the average annual growth between 2012 and 2016. </w:t>
      </w:r>
    </w:p>
    <w:p>
      <w:pPr>
        <w:shd w:val="clear" w:color="auto" w:fill="CCFFCC"/>
        <w:rPr>
          <w:rFonts w:eastAsia="楷体_GB2312"/>
          <w:sz w:val="24"/>
        </w:rPr>
      </w:pPr>
    </w:p>
    <w:p>
      <w:pPr>
        <w:shd w:val="clear" w:color="auto" w:fill="CCFFCC"/>
        <w:rPr>
          <w:rFonts w:eastAsia="楷体_GB2312"/>
          <w:sz w:val="24"/>
        </w:rPr>
      </w:pPr>
      <w:r>
        <w:rPr>
          <w:rFonts w:eastAsia="楷体_GB2312"/>
          <w:b/>
          <w:sz w:val="24"/>
        </w:rPr>
        <w:t>The rapid growth of the macro leverage ratio during the previous period can be  attributed to structural features and the stage of development of the Chinese economy.</w:t>
      </w:r>
      <w:r>
        <w:rPr>
          <w:rFonts w:eastAsia="楷体_GB2312"/>
          <w:sz w:val="24"/>
        </w:rPr>
        <w:t xml:space="preserve"> The first feature is the high savings ratio, the mismatch between those who saved and those who invested, and the underdevelopment of equity financing, which led to a surge in debt during the process of savings being turned into investments. Against this background, a lack of efficiency in debt use </w:t>
      </w:r>
      <w:r>
        <w:rPr>
          <w:rFonts w:hint="eastAsia" w:eastAsiaTheme="minorEastAsia"/>
          <w:sz w:val="24"/>
        </w:rPr>
        <w:t xml:space="preserve">would </w:t>
      </w:r>
      <w:r>
        <w:rPr>
          <w:rFonts w:eastAsia="楷体_GB2312"/>
          <w:sz w:val="24"/>
        </w:rPr>
        <w:t>inevitably push up the leverage ratio. The second feature is the rapid monetization leading to a period of rapid leverage expansion, especially in light of the progress in the market economy, the massive urbanization, the development of the real-estate market, and the higher growth of the export-oriented economy. The third feature is shadow-banking pushing up leveraging in the context of the deepening of rapid financing and the slow catch-up in financial regulation. The fourth feature is SOE and local government financing</w:t>
      </w:r>
      <w:r>
        <w:rPr>
          <w:rFonts w:hint="eastAsia" w:eastAsia="楷体_GB2312"/>
          <w:sz w:val="24"/>
        </w:rPr>
        <w:t xml:space="preserve"> platforms</w:t>
      </w:r>
      <w:r>
        <w:rPr>
          <w:rFonts w:eastAsia="楷体_GB2312"/>
          <w:sz w:val="24"/>
        </w:rPr>
        <w:t xml:space="preserve"> undertaking some government functions, thus rapidly pushing up leveraging in the corporate sector. </w:t>
      </w:r>
    </w:p>
    <w:p>
      <w:pPr>
        <w:shd w:val="clear" w:color="auto" w:fill="CCFFCC"/>
        <w:rPr>
          <w:rFonts w:eastAsia="楷体_GB2312"/>
          <w:sz w:val="24"/>
        </w:rPr>
      </w:pPr>
    </w:p>
    <w:p>
      <w:pPr>
        <w:shd w:val="clear" w:color="auto" w:fill="CCFFCC"/>
        <w:rPr>
          <w:rFonts w:eastAsia="楷体_GB2312"/>
          <w:sz w:val="24"/>
        </w:rPr>
      </w:pPr>
      <w:r>
        <w:rPr>
          <w:rFonts w:eastAsia="楷体_GB2312"/>
          <w:b/>
          <w:sz w:val="24"/>
        </w:rPr>
        <w:t xml:space="preserve">The above-mentioned factors contributing to a higher leverage have begun to change as the Chinese economy has entered a new stage. </w:t>
      </w:r>
      <w:r>
        <w:rPr>
          <w:rFonts w:eastAsia="楷体_GB2312"/>
          <w:sz w:val="24"/>
        </w:rPr>
        <w:t>First, stable growth can be expected in the period to come. The shift from a high growth rate to high-quality development will be supported by higher efficiency in the use of debt</w:t>
      </w:r>
      <w:r>
        <w:rPr>
          <w:rFonts w:hint="eastAsia" w:eastAsia="楷体_GB2312"/>
          <w:sz w:val="24"/>
        </w:rPr>
        <w:t>-financed</w:t>
      </w:r>
      <w:r>
        <w:rPr>
          <w:rFonts w:eastAsia="楷体_GB2312"/>
          <w:sz w:val="24"/>
        </w:rPr>
        <w:t xml:space="preserve"> </w:t>
      </w:r>
      <w:r>
        <w:rPr>
          <w:rFonts w:hint="eastAsia" w:eastAsia="楷体_GB2312"/>
          <w:sz w:val="24"/>
        </w:rPr>
        <w:t>funds</w:t>
      </w:r>
      <w:r>
        <w:rPr>
          <w:rFonts w:eastAsia="楷体_GB2312"/>
          <w:sz w:val="24"/>
        </w:rPr>
        <w:t xml:space="preserve"> and this will help to bring down the leverage ratio. Second, monet</w:t>
      </w:r>
      <w:r>
        <w:rPr>
          <w:rFonts w:hint="eastAsia" w:eastAsia="楷体_GB2312"/>
          <w:sz w:val="24"/>
        </w:rPr>
        <w:t>iza</w:t>
      </w:r>
      <w:r>
        <w:rPr>
          <w:rFonts w:eastAsia="楷体_GB2312"/>
          <w:sz w:val="24"/>
        </w:rPr>
        <w:t>tion in goods and factors markets is already quite high. With aging of the population</w:t>
      </w:r>
      <w:r>
        <w:rPr>
          <w:rFonts w:hint="eastAsia" w:eastAsiaTheme="minorEastAsia"/>
          <w:sz w:val="24"/>
        </w:rPr>
        <w:t xml:space="preserve"> picking up pace</w:t>
      </w:r>
      <w:r>
        <w:rPr>
          <w:rFonts w:eastAsia="楷体_GB2312"/>
          <w:sz w:val="24"/>
        </w:rPr>
        <w:t>, the subsequent slowdown in the monetization process will be reflected in the leverage ratio. Third, as a result of stricter regulation and financial-market improvements, shadow-banking driving up the leverage ratio will be curbed. Fourth, constraint</w:t>
      </w:r>
      <w:r>
        <w:rPr>
          <w:rFonts w:hint="eastAsia" w:eastAsia="楷体_GB2312"/>
          <w:sz w:val="24"/>
        </w:rPr>
        <w:t>s on</w:t>
      </w:r>
      <w:r>
        <w:rPr>
          <w:rFonts w:eastAsia="楷体_GB2312"/>
          <w:sz w:val="24"/>
        </w:rPr>
        <w:t xml:space="preserve"> local government debt </w:t>
      </w:r>
      <w:r>
        <w:rPr>
          <w:rFonts w:hint="eastAsia" w:eastAsia="楷体_GB2312"/>
          <w:sz w:val="24"/>
        </w:rPr>
        <w:t>are</w:t>
      </w:r>
      <w:r>
        <w:rPr>
          <w:rFonts w:eastAsia="楷体_GB2312"/>
          <w:sz w:val="24"/>
        </w:rPr>
        <w:t xml:space="preserve"> </w:t>
      </w:r>
      <w:r>
        <w:rPr>
          <w:rFonts w:hint="eastAsia" w:eastAsia="楷体_GB2312"/>
          <w:sz w:val="24"/>
        </w:rPr>
        <w:t>being strengthened</w:t>
      </w:r>
      <w:r>
        <w:rPr>
          <w:rFonts w:eastAsia="楷体_GB2312"/>
          <w:sz w:val="24"/>
        </w:rPr>
        <w:t xml:space="preserve"> and government financing guarantee behavior is </w:t>
      </w:r>
      <w:r>
        <w:rPr>
          <w:rFonts w:hint="eastAsia" w:eastAsia="楷体_GB2312"/>
          <w:sz w:val="24"/>
        </w:rPr>
        <w:t xml:space="preserve">being </w:t>
      </w:r>
      <w:r>
        <w:rPr>
          <w:rFonts w:eastAsia="楷体_GB2312"/>
          <w:sz w:val="24"/>
        </w:rPr>
        <w:t xml:space="preserve">regulated. Fifth, further progress in the supply-side structural reforms and implementation of a market-based, rule-based debt-equity swap will contribute to the stabilization and reduction of the macro leverage ratio.  With the above factors working together, the macro leverage ratio is expected to further stabilize and gradual structural deleveraging will be realized. </w:t>
      </w:r>
    </w:p>
    <w:p>
      <w:pPr>
        <w:rPr>
          <w:sz w:val="24"/>
        </w:rPr>
      </w:pPr>
    </w:p>
    <w:p>
      <w:pPr>
        <w:keepNext/>
        <w:keepLines/>
        <w:spacing w:before="20" w:after="20"/>
        <w:outlineLvl w:val="1"/>
        <w:rPr>
          <w:rFonts w:eastAsia="仿宋_GB2312"/>
          <w:b/>
          <w:bCs/>
          <w:sz w:val="24"/>
        </w:rPr>
      </w:pPr>
      <w:bookmarkStart w:id="142" w:name="_Toc517190523"/>
      <w:bookmarkStart w:id="143" w:name="_Toc492904391"/>
      <w:bookmarkStart w:id="144" w:name="_Toc502051027"/>
      <w:r>
        <w:rPr>
          <w:rFonts w:eastAsia="仿宋_GB2312"/>
          <w:b/>
          <w:bCs/>
          <w:sz w:val="24"/>
        </w:rPr>
        <w:t>II. Monetary Policy during the Next Stage</w:t>
      </w:r>
      <w:bookmarkEnd w:id="142"/>
      <w:bookmarkEnd w:id="143"/>
      <w:bookmarkEnd w:id="144"/>
    </w:p>
    <w:p>
      <w:pPr>
        <w:rPr>
          <w:sz w:val="24"/>
        </w:rPr>
      </w:pPr>
      <w:r>
        <w:rPr>
          <w:sz w:val="24"/>
        </w:rPr>
        <w:t xml:space="preserve">Going forward, the PBC will </w:t>
      </w:r>
      <w:r>
        <w:rPr>
          <w:rFonts w:hint="eastAsia"/>
          <w:sz w:val="24"/>
        </w:rPr>
        <w:t>act in accordance with the decisions and overall arrangements of the CPC Central Committee and the State Council, follow the guidance of Xi Jinping</w:t>
      </w:r>
      <w:r>
        <w:rPr>
          <w:sz w:val="24"/>
        </w:rPr>
        <w:t>’</w:t>
      </w:r>
      <w:r>
        <w:rPr>
          <w:rFonts w:hint="eastAsia"/>
          <w:sz w:val="24"/>
        </w:rPr>
        <w:t xml:space="preserve">s </w:t>
      </w:r>
      <w:r>
        <w:rPr>
          <w:sz w:val="24"/>
        </w:rPr>
        <w:t>Thought on Socialism with Chinese Characteristics for a New Era</w:t>
      </w:r>
      <w:r>
        <w:rPr>
          <w:rFonts w:hint="eastAsia"/>
          <w:sz w:val="24"/>
        </w:rPr>
        <w:t xml:space="preserve"> and the </w:t>
      </w:r>
      <w:r>
        <w:rPr>
          <w:sz w:val="24"/>
        </w:rPr>
        <w:t>overall</w:t>
      </w:r>
      <w:r>
        <w:rPr>
          <w:rFonts w:hint="eastAsia"/>
          <w:sz w:val="24"/>
        </w:rPr>
        <w:t xml:space="preserve"> requirements </w:t>
      </w:r>
      <w:r>
        <w:rPr>
          <w:sz w:val="24"/>
        </w:rPr>
        <w:t>for</w:t>
      </w:r>
      <w:r>
        <w:rPr>
          <w:rFonts w:hint="eastAsia"/>
          <w:sz w:val="24"/>
        </w:rPr>
        <w:t xml:space="preserve"> </w:t>
      </w:r>
      <w:r>
        <w:rPr>
          <w:sz w:val="24"/>
        </w:rPr>
        <w:t>the five-sphere integrated plan</w:t>
      </w:r>
      <w:r>
        <w:rPr>
          <w:rFonts w:hint="eastAsia"/>
          <w:sz w:val="24"/>
        </w:rPr>
        <w:t>, continue to</w:t>
      </w:r>
      <w:r>
        <w:rPr>
          <w:sz w:val="24"/>
        </w:rPr>
        <w:t xml:space="preserve"> adhere to the guiding principles of seeking progress </w:t>
      </w:r>
      <w:r>
        <w:rPr>
          <w:rFonts w:hint="eastAsia"/>
          <w:sz w:val="24"/>
        </w:rPr>
        <w:t xml:space="preserve">while maintaining </w:t>
      </w:r>
      <w:r>
        <w:rPr>
          <w:sz w:val="24"/>
        </w:rPr>
        <w:t xml:space="preserve">stability </w:t>
      </w:r>
      <w:r>
        <w:rPr>
          <w:rFonts w:hint="eastAsia"/>
          <w:sz w:val="24"/>
        </w:rPr>
        <w:t xml:space="preserve">and </w:t>
      </w:r>
      <w:r>
        <w:rPr>
          <w:sz w:val="24"/>
        </w:rPr>
        <w:t xml:space="preserve">to </w:t>
      </w:r>
      <w:r>
        <w:rPr>
          <w:rFonts w:hint="eastAsia"/>
          <w:sz w:val="24"/>
        </w:rPr>
        <w:t xml:space="preserve">the </w:t>
      </w:r>
      <w:r>
        <w:rPr>
          <w:sz w:val="24"/>
        </w:rPr>
        <w:t>new vision for developmen</w:t>
      </w:r>
      <w:r>
        <w:rPr>
          <w:rFonts w:hint="eastAsia"/>
          <w:sz w:val="24"/>
        </w:rPr>
        <w:t xml:space="preserve">t, fully grasp the evolution </w:t>
      </w:r>
      <w:r>
        <w:rPr>
          <w:sz w:val="24"/>
        </w:rPr>
        <w:t xml:space="preserve">of </w:t>
      </w:r>
      <w:r>
        <w:rPr>
          <w:rFonts w:hint="eastAsia"/>
          <w:sz w:val="24"/>
        </w:rPr>
        <w:t xml:space="preserve">the principal contradiction in the economy and society, focus on the three tasks of serving the real economy, </w:t>
      </w:r>
      <w:r>
        <w:rPr>
          <w:sz w:val="24"/>
        </w:rPr>
        <w:t xml:space="preserve">guarding against financial risks, and deepening the financial reforms, adopt innovative approaches </w:t>
      </w:r>
      <w:r>
        <w:rPr>
          <w:rFonts w:hint="eastAsia"/>
          <w:sz w:val="24"/>
        </w:rPr>
        <w:t xml:space="preserve">to and improve </w:t>
      </w:r>
      <w:r>
        <w:rPr>
          <w:sz w:val="24"/>
        </w:rPr>
        <w:t xml:space="preserve">financial </w:t>
      </w:r>
      <w:r>
        <w:rPr>
          <w:rFonts w:hint="eastAsia"/>
          <w:sz w:val="24"/>
        </w:rPr>
        <w:t xml:space="preserve">macro-management, </w:t>
      </w:r>
      <w:r>
        <w:rPr>
          <w:sz w:val="24"/>
        </w:rPr>
        <w:t xml:space="preserve">maintain policy consistency and stability, </w:t>
      </w:r>
      <w:r>
        <w:rPr>
          <w:rFonts w:hint="eastAsia"/>
          <w:sz w:val="24"/>
        </w:rPr>
        <w:t xml:space="preserve">implement a sound and neutral monetary policy, attach importance to expectation </w:t>
      </w:r>
      <w:r>
        <w:rPr>
          <w:sz w:val="24"/>
        </w:rPr>
        <w:t>management</w:t>
      </w:r>
      <w:r>
        <w:rPr>
          <w:rFonts w:hint="eastAsia"/>
          <w:sz w:val="24"/>
        </w:rPr>
        <w:t xml:space="preserve">, enhance policy coordination, accelerate the building of a modern economy, and build a neutral and proper monetary and financial environment for supply-side </w:t>
      </w:r>
      <w:r>
        <w:rPr>
          <w:sz w:val="24"/>
        </w:rPr>
        <w:t xml:space="preserve">structural reforms and high-quality development. The PBC will improve the </w:t>
      </w:r>
      <w:r>
        <w:rPr>
          <w:rFonts w:hint="eastAsia"/>
          <w:sz w:val="24"/>
        </w:rPr>
        <w:t xml:space="preserve">two-pillar </w:t>
      </w:r>
      <w:r>
        <w:rPr>
          <w:sz w:val="24"/>
        </w:rPr>
        <w:t>framework underpinned by the monetary and macro-prudential policies and</w:t>
      </w:r>
      <w:r>
        <w:rPr>
          <w:rFonts w:hint="eastAsia"/>
          <w:sz w:val="24"/>
        </w:rPr>
        <w:t xml:space="preserve"> </w:t>
      </w:r>
      <w:r>
        <w:rPr>
          <w:sz w:val="24"/>
        </w:rPr>
        <w:t xml:space="preserve">will deepen the market-based interest-rate and exchange-rate </w:t>
      </w:r>
      <w:r>
        <w:rPr>
          <w:rFonts w:hint="eastAsia"/>
          <w:sz w:val="24"/>
        </w:rPr>
        <w:t xml:space="preserve">regime </w:t>
      </w:r>
      <w:r>
        <w:rPr>
          <w:sz w:val="24"/>
        </w:rPr>
        <w:t>reform</w:t>
      </w:r>
      <w:r>
        <w:rPr>
          <w:rFonts w:hint="eastAsia"/>
          <w:sz w:val="24"/>
        </w:rPr>
        <w:t>s. The battle of forestalling and defusing major financial risks will be fought and won</w:t>
      </w:r>
      <w:r>
        <w:rPr>
          <w:sz w:val="24"/>
        </w:rPr>
        <w:t>.</w:t>
      </w:r>
      <w:r>
        <w:rPr>
          <w:rFonts w:hint="eastAsia"/>
          <w:sz w:val="24"/>
        </w:rPr>
        <w:t xml:space="preserve"> Measures will be taken to promote financial</w:t>
      </w:r>
      <w:r>
        <w:rPr>
          <w:sz w:val="24"/>
        </w:rPr>
        <w:t>-</w:t>
      </w:r>
      <w:r>
        <w:rPr>
          <w:rFonts w:hint="eastAsia"/>
          <w:sz w:val="24"/>
        </w:rPr>
        <w:t>sector reform</w:t>
      </w:r>
      <w:r>
        <w:rPr>
          <w:sz w:val="24"/>
        </w:rPr>
        <w:t>s and</w:t>
      </w:r>
      <w:r>
        <w:rPr>
          <w:rFonts w:hint="eastAsia"/>
          <w:sz w:val="24"/>
        </w:rPr>
        <w:t xml:space="preserve"> opening-up</w:t>
      </w:r>
      <w:r>
        <w:rPr>
          <w:sz w:val="24"/>
        </w:rPr>
        <w:t xml:space="preserve"> and</w:t>
      </w:r>
      <w:r>
        <w:rPr>
          <w:rFonts w:hint="eastAsia"/>
          <w:sz w:val="24"/>
        </w:rPr>
        <w:t xml:space="preserve"> </w:t>
      </w:r>
      <w:r>
        <w:rPr>
          <w:sz w:val="24"/>
        </w:rPr>
        <w:t xml:space="preserve">to </w:t>
      </w:r>
      <w:r>
        <w:rPr>
          <w:rFonts w:hint="eastAsia"/>
          <w:sz w:val="24"/>
        </w:rPr>
        <w:t xml:space="preserve">improve financial services for the real economy. </w:t>
      </w:r>
    </w:p>
    <w:p>
      <w:pPr>
        <w:rPr>
          <w:sz w:val="24"/>
        </w:rPr>
      </w:pPr>
    </w:p>
    <w:p>
      <w:pPr>
        <w:rPr>
          <w:sz w:val="24"/>
        </w:rPr>
      </w:pPr>
      <w:r>
        <w:rPr>
          <w:b/>
          <w:sz w:val="24"/>
        </w:rPr>
        <w:t xml:space="preserve">First, </w:t>
      </w:r>
      <w:r>
        <w:rPr>
          <w:rFonts w:hint="eastAsia"/>
          <w:b/>
          <w:sz w:val="24"/>
        </w:rPr>
        <w:t xml:space="preserve">the sound and neutral monetary policy will continue, and money supply will be properly managed. </w:t>
      </w:r>
      <w:r>
        <w:rPr>
          <w:rFonts w:hint="eastAsia"/>
          <w:sz w:val="24"/>
        </w:rPr>
        <w:t xml:space="preserve">A combination of price- and quantity-based instruments and </w:t>
      </w:r>
      <w:r>
        <w:rPr>
          <w:sz w:val="24"/>
        </w:rPr>
        <w:t xml:space="preserve">macro-prudential policies will be adopted to enhance preemptive adjustments and fine-tunings to </w:t>
      </w:r>
      <w:r>
        <w:rPr>
          <w:rFonts w:hint="eastAsia"/>
          <w:sz w:val="24"/>
        </w:rPr>
        <w:t>keep the growth of money, credit</w:t>
      </w:r>
      <w:r>
        <w:rPr>
          <w:sz w:val="24"/>
        </w:rPr>
        <w:t>,</w:t>
      </w:r>
      <w:r>
        <w:rPr>
          <w:rFonts w:hint="eastAsia"/>
          <w:sz w:val="24"/>
        </w:rPr>
        <w:t xml:space="preserve"> and total financing within a reasonable range and </w:t>
      </w:r>
      <w:r>
        <w:rPr>
          <w:sz w:val="24"/>
        </w:rPr>
        <w:t xml:space="preserve">to </w:t>
      </w:r>
      <w:r>
        <w:rPr>
          <w:rFonts w:hint="eastAsia"/>
          <w:sz w:val="24"/>
        </w:rPr>
        <w:t>strike a balance between stable growth, deleveraging</w:t>
      </w:r>
      <w:r>
        <w:rPr>
          <w:sz w:val="24"/>
        </w:rPr>
        <w:t>,</w:t>
      </w:r>
      <w:r>
        <w:rPr>
          <w:rFonts w:hint="eastAsia"/>
          <w:sz w:val="24"/>
        </w:rPr>
        <w:t xml:space="preserve"> and risk prevention. On the one hand, </w:t>
      </w:r>
      <w:r>
        <w:rPr>
          <w:sz w:val="24"/>
        </w:rPr>
        <w:t>liquidity</w:t>
      </w:r>
      <w:r>
        <w:rPr>
          <w:rFonts w:hint="eastAsia"/>
          <w:sz w:val="24"/>
        </w:rPr>
        <w:t xml:space="preserve"> will be </w:t>
      </w:r>
      <w:r>
        <w:rPr>
          <w:sz w:val="24"/>
        </w:rPr>
        <w:t>properly manage</w:t>
      </w:r>
      <w:r>
        <w:rPr>
          <w:rFonts w:hint="eastAsia"/>
          <w:sz w:val="24"/>
        </w:rPr>
        <w:t>d to facilitate deleveraging and financial risk</w:t>
      </w:r>
      <w:r>
        <w:rPr>
          <w:sz w:val="24"/>
        </w:rPr>
        <w:t>s</w:t>
      </w:r>
      <w:r>
        <w:rPr>
          <w:rFonts w:hint="eastAsia"/>
          <w:sz w:val="24"/>
        </w:rPr>
        <w:t xml:space="preserve"> management. On the other hand, with full consideration of changes in economic performa</w:t>
      </w:r>
      <w:r>
        <w:rPr>
          <w:sz w:val="24"/>
        </w:rPr>
        <w:t>n</w:t>
      </w:r>
      <w:r>
        <w:rPr>
          <w:rFonts w:hint="eastAsia"/>
          <w:sz w:val="24"/>
        </w:rPr>
        <w:t xml:space="preserve">ce, measures will be taken to step up policy coordination. A variety of </w:t>
      </w:r>
      <w:r>
        <w:rPr>
          <w:sz w:val="24"/>
        </w:rPr>
        <w:t>monetary-policy instruments</w:t>
      </w:r>
      <w:r>
        <w:rPr>
          <w:rFonts w:hint="eastAsia"/>
          <w:sz w:val="24"/>
        </w:rPr>
        <w:t xml:space="preserve"> will be flexibly used through well-paced operations</w:t>
      </w:r>
      <w:r>
        <w:rPr>
          <w:sz w:val="24"/>
        </w:rPr>
        <w:t xml:space="preserve"> to maintain stable </w:t>
      </w:r>
      <w:r>
        <w:rPr>
          <w:rFonts w:hint="eastAsia"/>
          <w:sz w:val="24"/>
        </w:rPr>
        <w:t xml:space="preserve">liquidity at </w:t>
      </w:r>
      <w:r>
        <w:rPr>
          <w:sz w:val="24"/>
        </w:rPr>
        <w:t xml:space="preserve">a </w:t>
      </w:r>
      <w:r>
        <w:rPr>
          <w:rFonts w:hint="eastAsia"/>
          <w:sz w:val="24"/>
        </w:rPr>
        <w:t>reasonable volume</w:t>
      </w:r>
      <w:r>
        <w:rPr>
          <w:sz w:val="24"/>
        </w:rPr>
        <w:t>.</w:t>
      </w:r>
      <w:r>
        <w:rPr>
          <w:rFonts w:hint="eastAsia"/>
          <w:sz w:val="24"/>
        </w:rPr>
        <w:t xml:space="preserve"> </w:t>
      </w:r>
      <w:r>
        <w:rPr>
          <w:sz w:val="24"/>
        </w:rPr>
        <w:t>Macro-prudential assessments</w:t>
      </w:r>
      <w:r>
        <w:rPr>
          <w:rFonts w:hint="eastAsia"/>
          <w:sz w:val="24"/>
        </w:rPr>
        <w:t xml:space="preserve"> will be improved, and </w:t>
      </w:r>
      <w:r>
        <w:rPr>
          <w:sz w:val="24"/>
        </w:rPr>
        <w:t>beginning</w:t>
      </w:r>
      <w:r>
        <w:rPr>
          <w:rFonts w:hint="eastAsia"/>
          <w:sz w:val="24"/>
        </w:rPr>
        <w:t xml:space="preserve"> from </w:t>
      </w:r>
      <w:r>
        <w:rPr>
          <w:sz w:val="24"/>
        </w:rPr>
        <w:t xml:space="preserve">Q1 of </w:t>
      </w:r>
      <w:r>
        <w:rPr>
          <w:rFonts w:hint="eastAsia"/>
          <w:sz w:val="24"/>
        </w:rPr>
        <w:t xml:space="preserve">2019 inter-bank </w:t>
      </w:r>
      <w:r>
        <w:rPr>
          <w:sz w:val="24"/>
        </w:rPr>
        <w:t>certificates of deposit</w:t>
      </w:r>
      <w:r>
        <w:rPr>
          <w:rFonts w:hint="eastAsia"/>
          <w:sz w:val="24"/>
        </w:rPr>
        <w:t xml:space="preserve"> issued by financial institutions whose assets are </w:t>
      </w:r>
      <w:r>
        <w:rPr>
          <w:sz w:val="24"/>
        </w:rPr>
        <w:t>less than</w:t>
      </w:r>
      <w:r>
        <w:rPr>
          <w:rFonts w:hint="eastAsia"/>
          <w:sz w:val="24"/>
        </w:rPr>
        <w:t xml:space="preserve"> RMB 500 billion will be included in </w:t>
      </w:r>
      <w:r>
        <w:rPr>
          <w:sz w:val="24"/>
        </w:rPr>
        <w:t xml:space="preserve">the </w:t>
      </w:r>
      <w:r>
        <w:rPr>
          <w:rFonts w:hint="eastAsia"/>
          <w:sz w:val="24"/>
        </w:rPr>
        <w:t>MPA evaluation</w:t>
      </w:r>
      <w:r>
        <w:rPr>
          <w:sz w:val="24"/>
        </w:rPr>
        <w:t>s.</w:t>
      </w:r>
      <w:r>
        <w:rPr>
          <w:rFonts w:hint="eastAsia"/>
          <w:sz w:val="24"/>
        </w:rPr>
        <w:t xml:space="preserve"> </w:t>
      </w:r>
    </w:p>
    <w:p>
      <w:pPr>
        <w:rPr>
          <w:sz w:val="24"/>
        </w:rPr>
      </w:pPr>
    </w:p>
    <w:p>
      <w:pPr>
        <w:rPr>
          <w:sz w:val="24"/>
        </w:rPr>
      </w:pPr>
      <w:r>
        <w:rPr>
          <w:rFonts w:eastAsia="楷体_GB2312"/>
          <w:b/>
          <w:sz w:val="24"/>
        </w:rPr>
        <w:t>Second, measures will be adopted to facilitate structural optimization to support economic structural adjustments, transformation, and upgrading.</w:t>
      </w:r>
      <w:r>
        <w:rPr>
          <w:rFonts w:eastAsia="楷体_GB2312"/>
          <w:sz w:val="24"/>
        </w:rPr>
        <w:t xml:space="preserve"> In a bid to provide more efficient financial services to the </w:t>
      </w:r>
      <w:r>
        <w:rPr>
          <w:rFonts w:hint="eastAsia"/>
          <w:sz w:val="24"/>
        </w:rPr>
        <w:t>supply-side structural reforms</w:t>
      </w:r>
      <w:r>
        <w:rPr>
          <w:rFonts w:eastAsia="楷体_GB2312"/>
          <w:sz w:val="24"/>
        </w:rPr>
        <w:t>, continued efforts will be made to optimize the direction and structure of liquidity and to reinforce the role of credit policy</w:t>
      </w:r>
      <w:r>
        <w:rPr>
          <w:rFonts w:hint="eastAsia"/>
          <w:sz w:val="24"/>
        </w:rPr>
        <w:t xml:space="preserve"> in providing guidance. </w:t>
      </w:r>
      <w:r>
        <w:rPr>
          <w:rFonts w:eastAsia="楷体_GB2312"/>
          <w:sz w:val="24"/>
        </w:rPr>
        <w:t xml:space="preserve">Financial services will be provided to support the </w:t>
      </w:r>
      <w:r>
        <w:rPr>
          <w:rFonts w:hint="eastAsia"/>
          <w:sz w:val="24"/>
        </w:rPr>
        <w:t>transformation and upgrading of priority industries</w:t>
      </w:r>
      <w:r>
        <w:rPr>
          <w:sz w:val="24"/>
        </w:rPr>
        <w:t>,</w:t>
      </w:r>
      <w:r>
        <w:rPr>
          <w:rFonts w:hint="eastAsia"/>
          <w:sz w:val="24"/>
        </w:rPr>
        <w:t xml:space="preserve"> such as</w:t>
      </w:r>
      <w:r>
        <w:rPr>
          <w:rFonts w:eastAsia="楷体_GB2312"/>
          <w:sz w:val="24"/>
        </w:rPr>
        <w:t xml:space="preserve"> </w:t>
      </w:r>
      <w:r>
        <w:rPr>
          <w:rFonts w:hint="eastAsia"/>
          <w:sz w:val="24"/>
        </w:rPr>
        <w:t xml:space="preserve">the </w:t>
      </w:r>
      <w:r>
        <w:rPr>
          <w:rFonts w:eastAsia="楷体_GB2312"/>
          <w:sz w:val="24"/>
        </w:rPr>
        <w:t xml:space="preserve">manufacturing </w:t>
      </w:r>
      <w:r>
        <w:rPr>
          <w:rFonts w:hint="eastAsia"/>
          <w:sz w:val="24"/>
        </w:rPr>
        <w:t>sector, infrastructure</w:t>
      </w:r>
      <w:r>
        <w:rPr>
          <w:sz w:val="24"/>
        </w:rPr>
        <w:t>,</w:t>
      </w:r>
      <w:r>
        <w:rPr>
          <w:rFonts w:hint="eastAsia"/>
          <w:sz w:val="24"/>
        </w:rPr>
        <w:t xml:space="preserve"> and railway</w:t>
      </w:r>
      <w:r>
        <w:rPr>
          <w:sz w:val="24"/>
        </w:rPr>
        <w:t>s.</w:t>
      </w:r>
      <w:r>
        <w:rPr>
          <w:rFonts w:hint="eastAsia"/>
          <w:sz w:val="24"/>
        </w:rPr>
        <w:t xml:space="preserve"> The role of </w:t>
      </w:r>
      <w:r>
        <w:rPr>
          <w:sz w:val="24"/>
        </w:rPr>
        <w:t xml:space="preserve">the financial sector </w:t>
      </w:r>
      <w:r>
        <w:rPr>
          <w:rFonts w:hint="eastAsia"/>
          <w:sz w:val="24"/>
        </w:rPr>
        <w:t xml:space="preserve">will be tapped to provide </w:t>
      </w:r>
      <w:r>
        <w:rPr>
          <w:sz w:val="24"/>
        </w:rPr>
        <w:t>stronger</w:t>
      </w:r>
      <w:r>
        <w:rPr>
          <w:rFonts w:hint="eastAsia"/>
          <w:sz w:val="24"/>
        </w:rPr>
        <w:t xml:space="preserve"> support </w:t>
      </w:r>
      <w:r>
        <w:rPr>
          <w:rFonts w:eastAsia="楷体_GB2312"/>
          <w:sz w:val="24"/>
        </w:rPr>
        <w:t>for</w:t>
      </w:r>
      <w:r>
        <w:rPr>
          <w:rFonts w:hint="eastAsia"/>
          <w:sz w:val="24"/>
        </w:rPr>
        <w:t xml:space="preserve"> newly</w:t>
      </w:r>
      <w:r>
        <w:rPr>
          <w:sz w:val="24"/>
        </w:rPr>
        <w:t>-</w:t>
      </w:r>
      <w:r>
        <w:rPr>
          <w:rFonts w:hint="eastAsia"/>
          <w:sz w:val="24"/>
        </w:rPr>
        <w:t xml:space="preserve">emerging </w:t>
      </w:r>
      <w:r>
        <w:rPr>
          <w:sz w:val="24"/>
        </w:rPr>
        <w:t>consumption</w:t>
      </w:r>
      <w:r>
        <w:rPr>
          <w:rFonts w:hint="eastAsia"/>
          <w:sz w:val="24"/>
        </w:rPr>
        <w:t xml:space="preserve"> sectors</w:t>
      </w:r>
      <w:r>
        <w:rPr>
          <w:sz w:val="24"/>
        </w:rPr>
        <w:t xml:space="preserve">, </w:t>
      </w:r>
      <w:r>
        <w:rPr>
          <w:rFonts w:hint="eastAsia"/>
          <w:sz w:val="24"/>
        </w:rPr>
        <w:t xml:space="preserve">such as </w:t>
      </w:r>
      <w:r>
        <w:rPr>
          <w:sz w:val="24"/>
        </w:rPr>
        <w:t xml:space="preserve">elderly </w:t>
      </w:r>
      <w:r>
        <w:rPr>
          <w:rFonts w:hint="eastAsia"/>
          <w:sz w:val="24"/>
        </w:rPr>
        <w:t>care, education, and healthcare, as well as</w:t>
      </w:r>
      <w:r>
        <w:rPr>
          <w:rFonts w:eastAsia="楷体_GB2312"/>
          <w:sz w:val="24"/>
        </w:rPr>
        <w:t xml:space="preserve"> key sectors in the national economy, including </w:t>
      </w:r>
      <w:r>
        <w:rPr>
          <w:sz w:val="24"/>
        </w:rPr>
        <w:t>entrepreneurship</w:t>
      </w:r>
      <w:r>
        <w:rPr>
          <w:rFonts w:hint="eastAsia"/>
          <w:sz w:val="24"/>
        </w:rPr>
        <w:t xml:space="preserve"> and innovation, </w:t>
      </w:r>
      <w:r>
        <w:rPr>
          <w:rFonts w:eastAsia="楷体_GB2312"/>
          <w:sz w:val="24"/>
        </w:rPr>
        <w:t xml:space="preserve">science and technology, the cultural industry, the </w:t>
      </w:r>
      <w:r>
        <w:rPr>
          <w:rFonts w:hint="eastAsia"/>
          <w:sz w:val="24"/>
        </w:rPr>
        <w:t>maritime economy</w:t>
      </w:r>
      <w:r>
        <w:rPr>
          <w:sz w:val="24"/>
        </w:rPr>
        <w:t>,</w:t>
      </w:r>
      <w:r>
        <w:rPr>
          <w:rFonts w:hint="eastAsia"/>
          <w:sz w:val="24"/>
        </w:rPr>
        <w:t xml:space="preserve"> </w:t>
      </w:r>
      <w:r>
        <w:rPr>
          <w:rFonts w:eastAsia="楷体_GB2312"/>
          <w:sz w:val="24"/>
        </w:rPr>
        <w:t>and the emerging strategic industries.</w:t>
      </w:r>
      <w:r>
        <w:rPr>
          <w:rFonts w:hint="eastAsia"/>
          <w:sz w:val="24"/>
        </w:rPr>
        <w:t xml:space="preserve"> </w:t>
      </w:r>
      <w:r>
        <w:rPr>
          <w:rFonts w:eastAsia="楷体_GB2312"/>
          <w:sz w:val="24"/>
        </w:rPr>
        <w:t>Financial services will be</w:t>
      </w:r>
      <w:r>
        <w:rPr>
          <w:rFonts w:hint="eastAsia"/>
          <w:sz w:val="24"/>
        </w:rPr>
        <w:t xml:space="preserve"> improved </w:t>
      </w:r>
      <w:r>
        <w:rPr>
          <w:sz w:val="24"/>
        </w:rPr>
        <w:t xml:space="preserve">for </w:t>
      </w:r>
      <w:r>
        <w:rPr>
          <w:rFonts w:eastAsia="楷体_GB2312"/>
          <w:sz w:val="24"/>
        </w:rPr>
        <w:t xml:space="preserve">the coordinated development of Beijing, Tianjin, and Hebei, </w:t>
      </w:r>
      <w:r>
        <w:rPr>
          <w:rFonts w:hint="eastAsia"/>
          <w:sz w:val="24"/>
        </w:rPr>
        <w:t>the Belt and Road In</w:t>
      </w:r>
      <w:r>
        <w:rPr>
          <w:sz w:val="24"/>
        </w:rPr>
        <w:t>i</w:t>
      </w:r>
      <w:r>
        <w:rPr>
          <w:rFonts w:hint="eastAsia"/>
          <w:sz w:val="24"/>
        </w:rPr>
        <w:t xml:space="preserve">tiative, </w:t>
      </w:r>
      <w:r>
        <w:rPr>
          <w:sz w:val="24"/>
        </w:rPr>
        <w:t xml:space="preserve">and </w:t>
      </w:r>
      <w:r>
        <w:rPr>
          <w:rFonts w:hint="eastAsia"/>
          <w:sz w:val="24"/>
        </w:rPr>
        <w:t>development of the west</w:t>
      </w:r>
      <w:r>
        <w:rPr>
          <w:sz w:val="24"/>
        </w:rPr>
        <w:t>ern</w:t>
      </w:r>
      <w:r>
        <w:rPr>
          <w:rFonts w:hint="eastAsia"/>
          <w:sz w:val="24"/>
        </w:rPr>
        <w:t xml:space="preserve"> region</w:t>
      </w:r>
      <w:r>
        <w:rPr>
          <w:sz w:val="24"/>
        </w:rPr>
        <w:t>s</w:t>
      </w:r>
      <w:r>
        <w:rPr>
          <w:rFonts w:hint="eastAsia"/>
          <w:sz w:val="24"/>
        </w:rPr>
        <w:t xml:space="preserve">. The focus of agro-linked financial services will be </w:t>
      </w:r>
      <w:r>
        <w:rPr>
          <w:sz w:val="24"/>
        </w:rPr>
        <w:t>to support the</w:t>
      </w:r>
      <w:r>
        <w:rPr>
          <w:rFonts w:hint="eastAsia"/>
          <w:sz w:val="24"/>
        </w:rPr>
        <w:t xml:space="preserve"> strategy of rural rejuvenation, the integrated development of the </w:t>
      </w:r>
      <w:r>
        <w:rPr>
          <w:sz w:val="24"/>
        </w:rPr>
        <w:t>primary</w:t>
      </w:r>
      <w:r>
        <w:rPr>
          <w:rFonts w:hint="eastAsia"/>
          <w:sz w:val="24"/>
        </w:rPr>
        <w:t>, secondary</w:t>
      </w:r>
      <w:r>
        <w:rPr>
          <w:sz w:val="24"/>
        </w:rPr>
        <w:t>,</w:t>
      </w:r>
      <w:r>
        <w:rPr>
          <w:rFonts w:hint="eastAsia"/>
          <w:sz w:val="24"/>
        </w:rPr>
        <w:t xml:space="preserve"> and tertiary industries</w:t>
      </w:r>
      <w:r>
        <w:rPr>
          <w:sz w:val="24"/>
        </w:rPr>
        <w:t>,</w:t>
      </w:r>
      <w:r>
        <w:rPr>
          <w:rFonts w:hint="eastAsia"/>
          <w:sz w:val="24"/>
        </w:rPr>
        <w:t xml:space="preserve"> and to improve efficiency. The financial</w:t>
      </w:r>
      <w:r>
        <w:rPr>
          <w:sz w:val="24"/>
        </w:rPr>
        <w:t>-</w:t>
      </w:r>
      <w:r>
        <w:rPr>
          <w:rFonts w:hint="eastAsia"/>
          <w:sz w:val="24"/>
        </w:rPr>
        <w:t>sector mechanism for targeted poverty alleviation will be improved</w:t>
      </w:r>
      <w:r>
        <w:rPr>
          <w:sz w:val="24"/>
        </w:rPr>
        <w:t xml:space="preserve"> and financial</w:t>
      </w:r>
      <w:r>
        <w:rPr>
          <w:rFonts w:hint="eastAsia"/>
          <w:sz w:val="24"/>
        </w:rPr>
        <w:t xml:space="preserve"> services for </w:t>
      </w:r>
      <w:r>
        <w:rPr>
          <w:sz w:val="24"/>
        </w:rPr>
        <w:t>seriously</w:t>
      </w:r>
      <w:r>
        <w:rPr>
          <w:rFonts w:hint="eastAsia"/>
          <w:sz w:val="24"/>
        </w:rPr>
        <w:t xml:space="preserve"> impoverished areas will be reinforced. </w:t>
      </w:r>
      <w:r>
        <w:rPr>
          <w:sz w:val="24"/>
        </w:rPr>
        <w:t>E</w:t>
      </w:r>
      <w:r>
        <w:rPr>
          <w:rFonts w:hint="eastAsia"/>
          <w:sz w:val="24"/>
        </w:rPr>
        <w:t>fforts will be made</w:t>
      </w:r>
      <w:r>
        <w:rPr>
          <w:rFonts w:eastAsia="楷体_GB2312"/>
          <w:sz w:val="24"/>
        </w:rPr>
        <w:t xml:space="preserve"> </w:t>
      </w:r>
      <w:r>
        <w:rPr>
          <w:rFonts w:hint="eastAsia"/>
          <w:sz w:val="24"/>
        </w:rPr>
        <w:t xml:space="preserve">to evaluate the outcome of credit policies and to guide </w:t>
      </w:r>
      <w:r>
        <w:rPr>
          <w:rFonts w:eastAsia="楷体_GB2312"/>
          <w:sz w:val="24"/>
        </w:rPr>
        <w:t xml:space="preserve">financial institutions to </w:t>
      </w:r>
      <w:r>
        <w:rPr>
          <w:rFonts w:hint="eastAsia"/>
          <w:sz w:val="24"/>
        </w:rPr>
        <w:t xml:space="preserve">increase </w:t>
      </w:r>
      <w:r>
        <w:rPr>
          <w:rFonts w:eastAsia="楷体_GB2312"/>
          <w:sz w:val="24"/>
        </w:rPr>
        <w:t xml:space="preserve">credit support to weak links in the economy. </w:t>
      </w:r>
      <w:r>
        <w:rPr>
          <w:sz w:val="24"/>
        </w:rPr>
        <w:t>I</w:t>
      </w:r>
      <w:r>
        <w:rPr>
          <w:rFonts w:hint="eastAsia"/>
          <w:sz w:val="24"/>
        </w:rPr>
        <w:t>nnovation</w:t>
      </w:r>
      <w:r>
        <w:rPr>
          <w:sz w:val="24"/>
        </w:rPr>
        <w:t>s</w:t>
      </w:r>
      <w:r>
        <w:rPr>
          <w:rFonts w:hint="eastAsia"/>
          <w:sz w:val="24"/>
        </w:rPr>
        <w:t xml:space="preserve"> </w:t>
      </w:r>
      <w:r>
        <w:rPr>
          <w:sz w:val="24"/>
        </w:rPr>
        <w:t xml:space="preserve">in </w:t>
      </w:r>
      <w:r>
        <w:rPr>
          <w:rFonts w:hint="eastAsia"/>
          <w:sz w:val="24"/>
        </w:rPr>
        <w:t>financial products and services wil</w:t>
      </w:r>
      <w:r>
        <w:rPr>
          <w:sz w:val="24"/>
        </w:rPr>
        <w:t>l</w:t>
      </w:r>
      <w:r>
        <w:rPr>
          <w:rFonts w:hint="eastAsia"/>
          <w:sz w:val="24"/>
        </w:rPr>
        <w:t xml:space="preserve"> be encouraged. </w:t>
      </w:r>
      <w:r>
        <w:rPr>
          <w:sz w:val="24"/>
        </w:rPr>
        <w:t>A</w:t>
      </w:r>
      <w:r>
        <w:rPr>
          <w:rFonts w:hint="eastAsia"/>
          <w:sz w:val="24"/>
        </w:rPr>
        <w:t xml:space="preserve">d hoc campaigns to provide financing against accounts receivables of micro and small enterprises will be carried out. </w:t>
      </w:r>
      <w:r>
        <w:rPr>
          <w:sz w:val="24"/>
        </w:rPr>
        <w:t>E</w:t>
      </w:r>
      <w:r>
        <w:rPr>
          <w:rFonts w:hint="eastAsia"/>
          <w:sz w:val="24"/>
        </w:rPr>
        <w:t xml:space="preserve">fforts will be made to promote financing pledged with intellectual property rights. </w:t>
      </w:r>
    </w:p>
    <w:p>
      <w:pPr>
        <w:rPr>
          <w:rFonts w:eastAsia="楷体_GB2312"/>
          <w:sz w:val="24"/>
        </w:rPr>
      </w:pPr>
    </w:p>
    <w:p>
      <w:pPr>
        <w:rPr>
          <w:sz w:val="24"/>
        </w:rPr>
      </w:pPr>
      <w:r>
        <w:rPr>
          <w:b/>
          <w:sz w:val="24"/>
        </w:rPr>
        <w:t xml:space="preserve">Third, the market-based interest-rate reform and the RMB exchange-rate regime reform will </w:t>
      </w:r>
      <w:r>
        <w:rPr>
          <w:rFonts w:hint="eastAsia"/>
          <w:b/>
          <w:sz w:val="24"/>
        </w:rPr>
        <w:t xml:space="preserve">be furthered </w:t>
      </w:r>
      <w:r>
        <w:rPr>
          <w:b/>
          <w:sz w:val="24"/>
        </w:rPr>
        <w:t xml:space="preserve">to improve the </w:t>
      </w:r>
      <w:r>
        <w:rPr>
          <w:rFonts w:hint="eastAsia"/>
          <w:b/>
          <w:sz w:val="24"/>
        </w:rPr>
        <w:t xml:space="preserve">efficiency of </w:t>
      </w:r>
      <w:r>
        <w:rPr>
          <w:b/>
          <w:sz w:val="24"/>
        </w:rPr>
        <w:t>financial resource</w:t>
      </w:r>
      <w:r>
        <w:rPr>
          <w:rFonts w:hint="eastAsia"/>
          <w:b/>
          <w:sz w:val="24"/>
        </w:rPr>
        <w:t xml:space="preserve"> </w:t>
      </w:r>
      <w:r>
        <w:rPr>
          <w:b/>
          <w:sz w:val="24"/>
        </w:rPr>
        <w:t>allocations</w:t>
      </w:r>
      <w:r>
        <w:rPr>
          <w:rFonts w:hint="eastAsia"/>
          <w:b/>
          <w:sz w:val="24"/>
        </w:rPr>
        <w:t xml:space="preserve"> </w:t>
      </w:r>
      <w:r>
        <w:rPr>
          <w:b/>
          <w:sz w:val="24"/>
        </w:rPr>
        <w:t xml:space="preserve">and to improve the financial </w:t>
      </w:r>
      <w:r>
        <w:rPr>
          <w:rFonts w:hint="eastAsia"/>
          <w:b/>
          <w:sz w:val="24"/>
        </w:rPr>
        <w:t>management</w:t>
      </w:r>
      <w:r>
        <w:rPr>
          <w:b/>
          <w:sz w:val="24"/>
        </w:rPr>
        <w:t xml:space="preserve"> system. </w:t>
      </w:r>
      <w:r>
        <w:rPr>
          <w:sz w:val="24"/>
        </w:rPr>
        <w:t>Financial institutions will be urged to strengthen their internal control systems and to improve their capability for</w:t>
      </w:r>
      <w:r>
        <w:rPr>
          <w:rFonts w:hint="eastAsia"/>
          <w:sz w:val="24"/>
        </w:rPr>
        <w:t xml:space="preserve"> </w:t>
      </w:r>
      <w:r>
        <w:rPr>
          <w:sz w:val="24"/>
        </w:rPr>
        <w:t>independent and rational pricing and risk management.</w:t>
      </w:r>
      <w:r>
        <w:rPr>
          <w:rFonts w:hint="eastAsia"/>
          <w:sz w:val="24"/>
        </w:rPr>
        <w:t xml:space="preserve"> In order to deepen the </w:t>
      </w:r>
      <w:r>
        <w:rPr>
          <w:sz w:val="24"/>
        </w:rPr>
        <w:t>financial</w:t>
      </w:r>
      <w:r>
        <w:rPr>
          <w:rFonts w:hint="eastAsia"/>
          <w:sz w:val="24"/>
        </w:rPr>
        <w:t xml:space="preserve"> market, m</w:t>
      </w:r>
      <w:r>
        <w:rPr>
          <w:sz w:val="24"/>
        </w:rPr>
        <w:t>easures will continue to be adopted to develop market-based benchmark rates, to improve the yield curves of government securities, and to continuously improve the market-based interest-rate pricing mechanism. The PBC will explore the interest-rate corridor mechanism</w:t>
      </w:r>
      <w:r>
        <w:rPr>
          <w:rFonts w:hint="eastAsia"/>
          <w:sz w:val="24"/>
        </w:rPr>
        <w:t>,</w:t>
      </w:r>
      <w:r>
        <w:rPr>
          <w:sz w:val="24"/>
        </w:rPr>
        <w:t xml:space="preserve"> enhance the central-bank’s capacity to make interest-rate adjustments</w:t>
      </w:r>
      <w:r>
        <w:rPr>
          <w:rFonts w:hint="eastAsia"/>
          <w:sz w:val="24"/>
        </w:rPr>
        <w:t xml:space="preserve"> and </w:t>
      </w:r>
      <w:r>
        <w:rPr>
          <w:sz w:val="24"/>
        </w:rPr>
        <w:t xml:space="preserve">to </w:t>
      </w:r>
      <w:r>
        <w:rPr>
          <w:rFonts w:hint="eastAsia"/>
          <w:sz w:val="24"/>
        </w:rPr>
        <w:t xml:space="preserve">further </w:t>
      </w:r>
      <w:r>
        <w:rPr>
          <w:sz w:val="24"/>
        </w:rPr>
        <w:t>improve the transmission of central-bank</w:t>
      </w:r>
      <w:r>
        <w:rPr>
          <w:rFonts w:hint="eastAsia"/>
          <w:sz w:val="24"/>
        </w:rPr>
        <w:t xml:space="preserve"> </w:t>
      </w:r>
      <w:r>
        <w:rPr>
          <w:sz w:val="24"/>
        </w:rPr>
        <w:t>policy rates to the financial market and the real economy. Oversight of the irrational pricing behavior of financial institutions will be strengthened. The important role of the market interest-rate self-disciplinary mechanism will be tapped. Effective approaches will be adopted to regulate interest-rate pricing, while industr</w:t>
      </w:r>
      <w:r>
        <w:rPr>
          <w:rFonts w:hint="eastAsia"/>
          <w:sz w:val="24"/>
        </w:rPr>
        <w:t>y</w:t>
      </w:r>
      <w:r>
        <w:rPr>
          <w:sz w:val="24"/>
        </w:rPr>
        <w:t xml:space="preserve"> self-discipline and risk prevention will be reinforced to maintain order for fair pricing. The</w:t>
      </w:r>
      <w:r>
        <w:rPr>
          <w:rFonts w:hint="eastAsia"/>
          <w:sz w:val="24"/>
        </w:rPr>
        <w:t xml:space="preserve"> market-based</w:t>
      </w:r>
      <w:r>
        <w:rPr>
          <w:sz w:val="24"/>
        </w:rPr>
        <w:t xml:space="preserve"> RMB exchange-rate regime will be </w:t>
      </w:r>
      <w:r>
        <w:rPr>
          <w:rFonts w:hint="eastAsia"/>
          <w:sz w:val="24"/>
        </w:rPr>
        <w:t xml:space="preserve">deepened </w:t>
      </w:r>
      <w:r>
        <w:rPr>
          <w:sz w:val="24"/>
        </w:rPr>
        <w:t xml:space="preserve">to </w:t>
      </w:r>
      <w:r>
        <w:rPr>
          <w:rFonts w:hint="eastAsia"/>
          <w:sz w:val="24"/>
        </w:rPr>
        <w:t>improve the managed floating exchange</w:t>
      </w:r>
      <w:r>
        <w:rPr>
          <w:sz w:val="24"/>
        </w:rPr>
        <w:t>-</w:t>
      </w:r>
      <w:r>
        <w:rPr>
          <w:rFonts w:hint="eastAsia"/>
          <w:sz w:val="24"/>
        </w:rPr>
        <w:t xml:space="preserve">rate regime based on market supply and demand and with reference to a basket of currencies, to </w:t>
      </w:r>
      <w:r>
        <w:rPr>
          <w:sz w:val="24"/>
        </w:rPr>
        <w:t>allow the market to play a greater role</w:t>
      </w:r>
      <w:r>
        <w:rPr>
          <w:rFonts w:hint="eastAsia"/>
          <w:sz w:val="24"/>
        </w:rPr>
        <w:t xml:space="preserve"> in determining </w:t>
      </w:r>
      <w:r>
        <w:rPr>
          <w:sz w:val="24"/>
        </w:rPr>
        <w:t xml:space="preserve">the </w:t>
      </w:r>
      <w:r>
        <w:rPr>
          <w:rFonts w:hint="eastAsia"/>
          <w:sz w:val="24"/>
        </w:rPr>
        <w:t>exchange rate</w:t>
      </w:r>
      <w:r>
        <w:rPr>
          <w:sz w:val="24"/>
        </w:rPr>
        <w:t xml:space="preserve">, to enhance two-way flexibility in the RMB exchange rate, and to keep the RMB exchange rate basically stable at an adaptive and equilibrium level. Development of the foreign-exchange market will be accelerated </w:t>
      </w:r>
      <w:r>
        <w:rPr>
          <w:rFonts w:hint="eastAsia"/>
          <w:sz w:val="24"/>
        </w:rPr>
        <w:t xml:space="preserve">to provide </w:t>
      </w:r>
      <w:r>
        <w:rPr>
          <w:sz w:val="24"/>
        </w:rPr>
        <w:t>exchange-</w:t>
      </w:r>
      <w:r>
        <w:rPr>
          <w:rFonts w:hint="eastAsia"/>
          <w:sz w:val="24"/>
        </w:rPr>
        <w:t>rate risk management services based on actual need</w:t>
      </w:r>
      <w:r>
        <w:rPr>
          <w:sz w:val="24"/>
        </w:rPr>
        <w:t>s</w:t>
      </w:r>
      <w:r>
        <w:rPr>
          <w:rFonts w:hint="eastAsia"/>
          <w:sz w:val="24"/>
        </w:rPr>
        <w:t xml:space="preserve"> </w:t>
      </w:r>
      <w:r>
        <w:rPr>
          <w:sz w:val="24"/>
        </w:rPr>
        <w:t xml:space="preserve">in accordance with the principle that finance should serve the real economy. </w:t>
      </w:r>
      <w:r>
        <w:rPr>
          <w:rFonts w:hint="eastAsia"/>
          <w:sz w:val="24"/>
        </w:rPr>
        <w:t>Measures will be adopted to</w:t>
      </w:r>
      <w:r>
        <w:rPr>
          <w:sz w:val="24"/>
        </w:rPr>
        <w:t xml:space="preserve"> support the use of RMB in cross-border trade and investments</w:t>
      </w:r>
      <w:r>
        <w:rPr>
          <w:rFonts w:hint="eastAsia"/>
          <w:sz w:val="24"/>
        </w:rPr>
        <w:t xml:space="preserve">. </w:t>
      </w:r>
      <w:r>
        <w:rPr>
          <w:sz w:val="24"/>
        </w:rPr>
        <w:t xml:space="preserve">The PBC will closely </w:t>
      </w:r>
      <w:r>
        <w:rPr>
          <w:rFonts w:hint="eastAsia"/>
          <w:sz w:val="24"/>
        </w:rPr>
        <w:t xml:space="preserve">monitor </w:t>
      </w:r>
      <w:r>
        <w:rPr>
          <w:sz w:val="24"/>
        </w:rPr>
        <w:t xml:space="preserve">the impact of international developments on capital flows </w:t>
      </w:r>
      <w:r>
        <w:rPr>
          <w:rFonts w:hint="eastAsia"/>
          <w:sz w:val="24"/>
        </w:rPr>
        <w:t xml:space="preserve">and </w:t>
      </w:r>
      <w:r>
        <w:rPr>
          <w:sz w:val="24"/>
        </w:rPr>
        <w:t xml:space="preserve">will improve macro-prudential management </w:t>
      </w:r>
      <w:r>
        <w:rPr>
          <w:rFonts w:hint="eastAsia"/>
          <w:sz w:val="24"/>
        </w:rPr>
        <w:t>o</w:t>
      </w:r>
      <w:r>
        <w:rPr>
          <w:sz w:val="24"/>
        </w:rPr>
        <w:t>f</w:t>
      </w:r>
      <w:r>
        <w:rPr>
          <w:rFonts w:hint="eastAsia"/>
          <w:sz w:val="24"/>
        </w:rPr>
        <w:t xml:space="preserve"> cross-border capital flow</w:t>
      </w:r>
      <w:r>
        <w:rPr>
          <w:sz w:val="24"/>
        </w:rPr>
        <w:t>s</w:t>
      </w:r>
      <w:r>
        <w:rPr>
          <w:rFonts w:hint="eastAsia"/>
          <w:sz w:val="24"/>
        </w:rPr>
        <w:t>.</w:t>
      </w:r>
      <w:r>
        <w:rPr>
          <w:sz w:val="24"/>
        </w:rPr>
        <w:t xml:space="preserve"> </w:t>
      </w:r>
    </w:p>
    <w:p>
      <w:pPr>
        <w:rPr>
          <w:sz w:val="24"/>
        </w:rPr>
      </w:pPr>
    </w:p>
    <w:p>
      <w:pPr>
        <w:rPr>
          <w:sz w:val="24"/>
        </w:rPr>
      </w:pPr>
      <w:r>
        <w:rPr>
          <w:b/>
          <w:sz w:val="24"/>
        </w:rPr>
        <w:t xml:space="preserve">Fourth, the financial-market system will be improved to enhance the role of the financial market </w:t>
      </w:r>
      <w:r>
        <w:rPr>
          <w:rFonts w:hint="eastAsia"/>
          <w:b/>
          <w:sz w:val="24"/>
        </w:rPr>
        <w:t xml:space="preserve">in </w:t>
      </w:r>
      <w:r>
        <w:rPr>
          <w:b/>
          <w:sz w:val="24"/>
        </w:rPr>
        <w:t>stabiliz</w:t>
      </w:r>
      <w:r>
        <w:rPr>
          <w:rFonts w:hint="eastAsia"/>
          <w:b/>
          <w:sz w:val="24"/>
        </w:rPr>
        <w:t>ing</w:t>
      </w:r>
      <w:r>
        <w:rPr>
          <w:b/>
          <w:sz w:val="24"/>
        </w:rPr>
        <w:t xml:space="preserve"> economic growth, facilitat</w:t>
      </w:r>
      <w:r>
        <w:rPr>
          <w:rFonts w:hint="eastAsia"/>
          <w:b/>
          <w:sz w:val="24"/>
        </w:rPr>
        <w:t>ing</w:t>
      </w:r>
      <w:r>
        <w:rPr>
          <w:b/>
          <w:sz w:val="24"/>
        </w:rPr>
        <w:t xml:space="preserve"> structural adjustments, promot</w:t>
      </w:r>
      <w:r>
        <w:rPr>
          <w:rFonts w:hint="eastAsia"/>
          <w:b/>
          <w:sz w:val="24"/>
        </w:rPr>
        <w:t>ing</w:t>
      </w:r>
      <w:r>
        <w:rPr>
          <w:b/>
          <w:sz w:val="24"/>
        </w:rPr>
        <w:t xml:space="preserve"> reforms, and preventing risks.</w:t>
      </w:r>
      <w:r>
        <w:rPr>
          <w:sz w:val="24"/>
        </w:rPr>
        <w:t xml:space="preserve"> In</w:t>
      </w:r>
      <w:r>
        <w:rPr>
          <w:rFonts w:hint="eastAsia"/>
          <w:sz w:val="24"/>
        </w:rPr>
        <w:t xml:space="preserve"> accordance with the principle that </w:t>
      </w:r>
      <w:r>
        <w:rPr>
          <w:sz w:val="24"/>
        </w:rPr>
        <w:t xml:space="preserve">the </w:t>
      </w:r>
      <w:r>
        <w:rPr>
          <w:rFonts w:hint="eastAsia"/>
          <w:sz w:val="24"/>
        </w:rPr>
        <w:t>financial sector must serve the real economy, p</w:t>
      </w:r>
      <w:r>
        <w:rPr>
          <w:sz w:val="24"/>
        </w:rPr>
        <w:t xml:space="preserve">roduct innovations will be facilitated to </w:t>
      </w:r>
      <w:r>
        <w:rPr>
          <w:rFonts w:hint="eastAsia"/>
          <w:sz w:val="24"/>
        </w:rPr>
        <w:t>deepen and broaden the bond market, supervision over green financ</w:t>
      </w:r>
      <w:r>
        <w:rPr>
          <w:sz w:val="24"/>
        </w:rPr>
        <w:t>ing</w:t>
      </w:r>
      <w:r>
        <w:rPr>
          <w:rFonts w:hint="eastAsia"/>
          <w:sz w:val="24"/>
        </w:rPr>
        <w:t xml:space="preserve"> bonds will be strengthened throughout their duration, and the mechanism to prevent and resolve default risks will be improved. Fully tapping the role of financial markets, green financ</w:t>
      </w:r>
      <w:r>
        <w:rPr>
          <w:sz w:val="24"/>
        </w:rPr>
        <w:t>ing</w:t>
      </w:r>
      <w:r>
        <w:rPr>
          <w:rFonts w:hint="eastAsia"/>
          <w:sz w:val="24"/>
        </w:rPr>
        <w:t xml:space="preserve"> will be in a better position to support </w:t>
      </w:r>
      <w:r>
        <w:rPr>
          <w:sz w:val="24"/>
        </w:rPr>
        <w:t xml:space="preserve">the </w:t>
      </w:r>
      <w:r>
        <w:rPr>
          <w:rFonts w:hint="eastAsia"/>
          <w:sz w:val="24"/>
        </w:rPr>
        <w:t xml:space="preserve">economic </w:t>
      </w:r>
      <w:r>
        <w:rPr>
          <w:sz w:val="24"/>
        </w:rPr>
        <w:t>transformation</w:t>
      </w:r>
      <w:r>
        <w:rPr>
          <w:rFonts w:hint="eastAsia"/>
          <w:sz w:val="24"/>
        </w:rPr>
        <w:t xml:space="preserve">. </w:t>
      </w:r>
      <w:r>
        <w:rPr>
          <w:sz w:val="24"/>
        </w:rPr>
        <w:t>A t</w:t>
      </w:r>
      <w:r>
        <w:rPr>
          <w:rFonts w:hint="eastAsia"/>
          <w:sz w:val="24"/>
        </w:rPr>
        <w:t xml:space="preserve">wo-way opening of the bond market will be facilitated by encouraging various overseas institutions to issue bonds </w:t>
      </w:r>
      <w:r>
        <w:rPr>
          <w:sz w:val="24"/>
        </w:rPr>
        <w:t>o</w:t>
      </w:r>
      <w:r>
        <w:rPr>
          <w:rFonts w:hint="eastAsia"/>
          <w:sz w:val="24"/>
        </w:rPr>
        <w:t>n the onshore RMB market and</w:t>
      </w:r>
      <w:r>
        <w:rPr>
          <w:sz w:val="24"/>
        </w:rPr>
        <w:t xml:space="preserve"> for</w:t>
      </w:r>
      <w:r>
        <w:rPr>
          <w:rFonts w:hint="eastAsia"/>
          <w:sz w:val="24"/>
        </w:rPr>
        <w:t xml:space="preserve"> domestic </w:t>
      </w:r>
      <w:r>
        <w:rPr>
          <w:sz w:val="24"/>
        </w:rPr>
        <w:t>institutions</w:t>
      </w:r>
      <w:r>
        <w:rPr>
          <w:rFonts w:hint="eastAsia"/>
          <w:sz w:val="24"/>
        </w:rPr>
        <w:t xml:space="preserve"> to place bonds in offshore markets, and </w:t>
      </w:r>
      <w:r>
        <w:rPr>
          <w:sz w:val="24"/>
        </w:rPr>
        <w:t xml:space="preserve">to </w:t>
      </w:r>
      <w:r>
        <w:rPr>
          <w:rFonts w:hint="eastAsia"/>
          <w:sz w:val="24"/>
        </w:rPr>
        <w:t>promote overseas institutions to invest in the onshore bond market. Development of the secondary bond market will be facilitated through improvement</w:t>
      </w:r>
      <w:r>
        <w:rPr>
          <w:sz w:val="24"/>
        </w:rPr>
        <w:t>s in</w:t>
      </w:r>
      <w:r>
        <w:rPr>
          <w:rFonts w:hint="eastAsia"/>
          <w:sz w:val="24"/>
        </w:rPr>
        <w:t xml:space="preserve"> the market</w:t>
      </w:r>
      <w:r>
        <w:rPr>
          <w:sz w:val="24"/>
        </w:rPr>
        <w:t>-</w:t>
      </w:r>
      <w:r>
        <w:rPr>
          <w:rFonts w:hint="eastAsia"/>
          <w:sz w:val="24"/>
        </w:rPr>
        <w:t xml:space="preserve">maker </w:t>
      </w:r>
      <w:r>
        <w:rPr>
          <w:sz w:val="24"/>
        </w:rPr>
        <w:t>assessment</w:t>
      </w:r>
      <w:r>
        <w:rPr>
          <w:rFonts w:hint="eastAsia"/>
          <w:sz w:val="24"/>
        </w:rPr>
        <w:t xml:space="preserve"> system and in</w:t>
      </w:r>
      <w:r>
        <w:rPr>
          <w:sz w:val="24"/>
        </w:rPr>
        <w:t xml:space="preserve"> the</w:t>
      </w:r>
      <w:r>
        <w:rPr>
          <w:rFonts w:hint="eastAsia"/>
          <w:sz w:val="24"/>
        </w:rPr>
        <w:t xml:space="preserve"> institutional arrangements for trading, clearing</w:t>
      </w:r>
      <w:r>
        <w:rPr>
          <w:sz w:val="24"/>
        </w:rPr>
        <w:t>,</w:t>
      </w:r>
      <w:r>
        <w:rPr>
          <w:rFonts w:hint="eastAsia"/>
          <w:sz w:val="24"/>
        </w:rPr>
        <w:t xml:space="preserve"> </w:t>
      </w:r>
      <w:r>
        <w:rPr>
          <w:sz w:val="24"/>
        </w:rPr>
        <w:t xml:space="preserve">and </w:t>
      </w:r>
      <w:r>
        <w:rPr>
          <w:rFonts w:hint="eastAsia"/>
          <w:sz w:val="24"/>
        </w:rPr>
        <w:t xml:space="preserve">settlement, in order to have a more liquid bond market. </w:t>
      </w:r>
      <w:r>
        <w:rPr>
          <w:sz w:val="24"/>
        </w:rPr>
        <w:t>S</w:t>
      </w:r>
      <w:r>
        <w:rPr>
          <w:rFonts w:hint="eastAsia"/>
          <w:sz w:val="24"/>
        </w:rPr>
        <w:t>upporting policies on accounting, audit</w:t>
      </w:r>
      <w:r>
        <w:rPr>
          <w:sz w:val="24"/>
        </w:rPr>
        <w:t>s</w:t>
      </w:r>
      <w:r>
        <w:rPr>
          <w:rFonts w:hint="eastAsia"/>
          <w:sz w:val="24"/>
        </w:rPr>
        <w:t>, and tax</w:t>
      </w:r>
      <w:r>
        <w:rPr>
          <w:sz w:val="24"/>
        </w:rPr>
        <w:t>es</w:t>
      </w:r>
      <w:r>
        <w:rPr>
          <w:rFonts w:hint="eastAsia"/>
          <w:sz w:val="24"/>
        </w:rPr>
        <w:t xml:space="preserve"> will be improved to create a more friendly and convenient investment environment. </w:t>
      </w:r>
      <w:r>
        <w:rPr>
          <w:sz w:val="24"/>
        </w:rPr>
        <w:t>F</w:t>
      </w:r>
      <w:r>
        <w:rPr>
          <w:rFonts w:hint="eastAsia"/>
          <w:sz w:val="24"/>
        </w:rPr>
        <w:t xml:space="preserve">urther coordination is needed to promote securitization and </w:t>
      </w:r>
      <w:r>
        <w:rPr>
          <w:sz w:val="24"/>
        </w:rPr>
        <w:t xml:space="preserve">the </w:t>
      </w:r>
      <w:r>
        <w:rPr>
          <w:rFonts w:hint="eastAsia"/>
          <w:sz w:val="24"/>
        </w:rPr>
        <w:t>well</w:t>
      </w:r>
      <w:r>
        <w:rPr>
          <w:sz w:val="24"/>
        </w:rPr>
        <w:t>-</w:t>
      </w:r>
      <w:r>
        <w:rPr>
          <w:rFonts w:hint="eastAsia"/>
          <w:sz w:val="24"/>
        </w:rPr>
        <w:t xml:space="preserve">regulated development of the securitization market. </w:t>
      </w:r>
      <w:r>
        <w:rPr>
          <w:sz w:val="24"/>
        </w:rPr>
        <w:t xml:space="preserve">A </w:t>
      </w:r>
      <w:r>
        <w:rPr>
          <w:rFonts w:hint="eastAsia"/>
          <w:sz w:val="24"/>
        </w:rPr>
        <w:t xml:space="preserve">coordinated management </w:t>
      </w:r>
      <w:r>
        <w:rPr>
          <w:sz w:val="24"/>
        </w:rPr>
        <w:t>framework</w:t>
      </w:r>
      <w:r>
        <w:rPr>
          <w:rFonts w:hint="eastAsia"/>
          <w:sz w:val="24"/>
        </w:rPr>
        <w:t xml:space="preserve"> of the </w:t>
      </w:r>
      <w:r>
        <w:rPr>
          <w:sz w:val="24"/>
        </w:rPr>
        <w:t xml:space="preserve">financial-market infrastructure will be </w:t>
      </w:r>
      <w:r>
        <w:rPr>
          <w:rFonts w:hint="eastAsia"/>
          <w:sz w:val="24"/>
        </w:rPr>
        <w:t xml:space="preserve">established to improve market infrastructure and to provide </w:t>
      </w:r>
      <w:r>
        <w:rPr>
          <w:sz w:val="24"/>
        </w:rPr>
        <w:t xml:space="preserve">the </w:t>
      </w:r>
      <w:r>
        <w:rPr>
          <w:rFonts w:hint="eastAsia"/>
          <w:sz w:val="24"/>
        </w:rPr>
        <w:t xml:space="preserve">institutional underpinning for </w:t>
      </w:r>
      <w:r>
        <w:rPr>
          <w:sz w:val="24"/>
        </w:rPr>
        <w:t xml:space="preserve">the </w:t>
      </w:r>
      <w:r>
        <w:rPr>
          <w:rFonts w:hint="eastAsia"/>
          <w:sz w:val="24"/>
        </w:rPr>
        <w:t>efficient functioning and overall stability of the financial market as the opening-up deepens</w:t>
      </w:r>
      <w:r>
        <w:rPr>
          <w:sz w:val="24"/>
        </w:rPr>
        <w:t xml:space="preserve"> </w:t>
      </w:r>
      <w:r>
        <w:rPr>
          <w:rFonts w:hint="eastAsia"/>
          <w:sz w:val="24"/>
        </w:rPr>
        <w:t xml:space="preserve">further.  </w:t>
      </w:r>
    </w:p>
    <w:p>
      <w:pPr>
        <w:rPr>
          <w:sz w:val="24"/>
        </w:rPr>
      </w:pPr>
    </w:p>
    <w:p>
      <w:pPr>
        <w:rPr>
          <w:sz w:val="24"/>
        </w:rPr>
      </w:pPr>
      <w:r>
        <w:rPr>
          <w:rFonts w:hint="eastAsia"/>
          <w:b/>
          <w:sz w:val="24"/>
        </w:rPr>
        <w:t xml:space="preserve">Fifth, </w:t>
      </w:r>
      <w:r>
        <w:rPr>
          <w:rFonts w:eastAsia="楷体_GB2312"/>
          <w:b/>
          <w:sz w:val="24"/>
        </w:rPr>
        <w:t xml:space="preserve">the reform of financial institutions will be deepened and financial services will be improved by increasing supply and enhancing competition. </w:t>
      </w:r>
      <w:r>
        <w:rPr>
          <w:rFonts w:eastAsia="楷体_GB2312"/>
          <w:sz w:val="24"/>
        </w:rPr>
        <w:t>Reform of large commercial banks and other large financial institutions will</w:t>
      </w:r>
      <w:r>
        <w:rPr>
          <w:rFonts w:hint="eastAsia"/>
          <w:sz w:val="24"/>
        </w:rPr>
        <w:t xml:space="preserve"> be </w:t>
      </w:r>
      <w:r>
        <w:rPr>
          <w:sz w:val="24"/>
        </w:rPr>
        <w:t>further</w:t>
      </w:r>
      <w:r>
        <w:rPr>
          <w:rFonts w:hint="eastAsia"/>
          <w:sz w:val="24"/>
        </w:rPr>
        <w:t xml:space="preserve"> deepened </w:t>
      </w:r>
      <w:r>
        <w:rPr>
          <w:sz w:val="24"/>
        </w:rPr>
        <w:t xml:space="preserve">by </w:t>
      </w:r>
      <w:r>
        <w:rPr>
          <w:rFonts w:hint="eastAsia"/>
          <w:sz w:val="24"/>
        </w:rPr>
        <w:t xml:space="preserve">improving corporate governance, </w:t>
      </w:r>
      <w:r>
        <w:rPr>
          <w:sz w:val="24"/>
        </w:rPr>
        <w:t xml:space="preserve">regulating </w:t>
      </w:r>
      <w:r>
        <w:rPr>
          <w:rFonts w:hint="eastAsia"/>
          <w:sz w:val="24"/>
        </w:rPr>
        <w:t xml:space="preserve">the relationship among </w:t>
      </w:r>
      <w:r>
        <w:rPr>
          <w:sz w:val="24"/>
        </w:rPr>
        <w:t xml:space="preserve">the </w:t>
      </w:r>
      <w:r>
        <w:rPr>
          <w:rFonts w:hint="eastAsia"/>
          <w:sz w:val="24"/>
        </w:rPr>
        <w:t>shareholders</w:t>
      </w:r>
      <w:r>
        <w:rPr>
          <w:sz w:val="24"/>
        </w:rPr>
        <w:t>’</w:t>
      </w:r>
      <w:r>
        <w:rPr>
          <w:rFonts w:hint="eastAsia"/>
          <w:sz w:val="24"/>
        </w:rPr>
        <w:t xml:space="preserve"> meeting, </w:t>
      </w:r>
      <w:r>
        <w:rPr>
          <w:sz w:val="24"/>
        </w:rPr>
        <w:t xml:space="preserve">the </w:t>
      </w:r>
      <w:r>
        <w:rPr>
          <w:rFonts w:hint="eastAsia"/>
          <w:sz w:val="24"/>
        </w:rPr>
        <w:t xml:space="preserve">board of directors, </w:t>
      </w:r>
      <w:r>
        <w:rPr>
          <w:sz w:val="24"/>
        </w:rPr>
        <w:t xml:space="preserve">the </w:t>
      </w:r>
      <w:r>
        <w:rPr>
          <w:rFonts w:hint="eastAsia"/>
          <w:sz w:val="24"/>
        </w:rPr>
        <w:t>board of supervisors</w:t>
      </w:r>
      <w:r>
        <w:rPr>
          <w:sz w:val="24"/>
        </w:rPr>
        <w:t>,</w:t>
      </w:r>
      <w:r>
        <w:rPr>
          <w:rFonts w:hint="eastAsia"/>
          <w:sz w:val="24"/>
        </w:rPr>
        <w:t xml:space="preserve"> and management, improving the operation authorization system, establishing an effective system for decision making, execution</w:t>
      </w:r>
      <w:r>
        <w:rPr>
          <w:sz w:val="24"/>
        </w:rPr>
        <w:t>,</w:t>
      </w:r>
      <w:r>
        <w:rPr>
          <w:rFonts w:hint="eastAsia"/>
          <w:sz w:val="24"/>
        </w:rPr>
        <w:t xml:space="preserve"> and check</w:t>
      </w:r>
      <w:r>
        <w:rPr>
          <w:sz w:val="24"/>
        </w:rPr>
        <w:t>s</w:t>
      </w:r>
      <w:r>
        <w:rPr>
          <w:rFonts w:hint="eastAsia"/>
          <w:sz w:val="24"/>
        </w:rPr>
        <w:t xml:space="preserve"> and balance</w:t>
      </w:r>
      <w:r>
        <w:rPr>
          <w:sz w:val="24"/>
        </w:rPr>
        <w:t>s</w:t>
      </w:r>
      <w:r>
        <w:rPr>
          <w:rFonts w:hint="eastAsia"/>
          <w:sz w:val="24"/>
        </w:rPr>
        <w:t>, and improv</w:t>
      </w:r>
      <w:r>
        <w:rPr>
          <w:sz w:val="24"/>
        </w:rPr>
        <w:t>ing</w:t>
      </w:r>
      <w:r>
        <w:rPr>
          <w:rFonts w:hint="eastAsia"/>
          <w:sz w:val="24"/>
        </w:rPr>
        <w:t xml:space="preserve"> the quality of operation</w:t>
      </w:r>
      <w:r>
        <w:rPr>
          <w:sz w:val="24"/>
        </w:rPr>
        <w:t>s</w:t>
      </w:r>
      <w:r>
        <w:rPr>
          <w:rFonts w:hint="eastAsia"/>
          <w:sz w:val="24"/>
        </w:rPr>
        <w:t xml:space="preserve"> and management and risk</w:t>
      </w:r>
      <w:r>
        <w:rPr>
          <w:sz w:val="24"/>
        </w:rPr>
        <w:t>-</w:t>
      </w:r>
      <w:r>
        <w:rPr>
          <w:rFonts w:hint="eastAsia"/>
          <w:sz w:val="24"/>
        </w:rPr>
        <w:t xml:space="preserve">control capacity. </w:t>
      </w:r>
      <w:r>
        <w:rPr>
          <w:rFonts w:eastAsia="楷体_GB2312"/>
          <w:sz w:val="24"/>
        </w:rPr>
        <w:t>Further reforms of the management and operational mechanisms of the Agricultural and Rural Financial Service Division of the Agricultural Bank of China will be promoted, and effect</w:t>
      </w:r>
      <w:r>
        <w:rPr>
          <w:rFonts w:hint="eastAsia"/>
          <w:sz w:val="24"/>
        </w:rPr>
        <w:t xml:space="preserve">ive measures will be taken to revitalize the County Service Division to </w:t>
      </w:r>
      <w:r>
        <w:rPr>
          <w:rFonts w:eastAsia="楷体_GB2312"/>
          <w:sz w:val="24"/>
        </w:rPr>
        <w:t xml:space="preserve">improve its capacity to serve the real economy at the county level. </w:t>
      </w:r>
      <w:r>
        <w:rPr>
          <w:rFonts w:hint="eastAsia"/>
          <w:sz w:val="24"/>
        </w:rPr>
        <w:t xml:space="preserve">The </w:t>
      </w:r>
      <w:r>
        <w:rPr>
          <w:rFonts w:eastAsia="楷体_GB2312"/>
          <w:sz w:val="24"/>
        </w:rPr>
        <w:t>reform program for development and policy financial institutions</w:t>
      </w:r>
      <w:r>
        <w:rPr>
          <w:rFonts w:hint="eastAsia"/>
          <w:sz w:val="24"/>
        </w:rPr>
        <w:t xml:space="preserve"> will be implemented in a comprehensive </w:t>
      </w:r>
      <w:r>
        <w:rPr>
          <w:sz w:val="24"/>
        </w:rPr>
        <w:t>manner</w:t>
      </w:r>
      <w:r>
        <w:rPr>
          <w:rFonts w:hint="eastAsia"/>
          <w:sz w:val="24"/>
        </w:rPr>
        <w:t xml:space="preserve">. </w:t>
      </w:r>
      <w:r>
        <w:rPr>
          <w:sz w:val="24"/>
        </w:rPr>
        <w:t>E</w:t>
      </w:r>
      <w:r>
        <w:rPr>
          <w:rFonts w:hint="eastAsia"/>
          <w:sz w:val="24"/>
        </w:rPr>
        <w:t xml:space="preserve">fforts will be made </w:t>
      </w:r>
      <w:r>
        <w:rPr>
          <w:rFonts w:eastAsia="楷体_GB2312"/>
          <w:sz w:val="24"/>
        </w:rPr>
        <w:t xml:space="preserve">to rapidly complete the follow-up tasks for improving the governance structure, specifying the scope of businesses, </w:t>
      </w:r>
      <w:r>
        <w:rPr>
          <w:rFonts w:hint="eastAsia"/>
          <w:sz w:val="24"/>
        </w:rPr>
        <w:t xml:space="preserve">improving </w:t>
      </w:r>
      <w:r>
        <w:rPr>
          <w:sz w:val="24"/>
        </w:rPr>
        <w:t xml:space="preserve"> </w:t>
      </w:r>
      <w:r>
        <w:rPr>
          <w:rFonts w:eastAsia="楷体_GB2312"/>
          <w:sz w:val="24"/>
        </w:rPr>
        <w:t>risk compensation mechanisms,</w:t>
      </w:r>
      <w:r>
        <w:rPr>
          <w:rFonts w:hint="eastAsia"/>
          <w:sz w:val="24"/>
        </w:rPr>
        <w:t xml:space="preserve"> </w:t>
      </w:r>
      <w:r>
        <w:rPr>
          <w:sz w:val="24"/>
        </w:rPr>
        <w:t>and deepening</w:t>
      </w:r>
      <w:r>
        <w:rPr>
          <w:rFonts w:hint="eastAsia"/>
          <w:sz w:val="24"/>
        </w:rPr>
        <w:t xml:space="preserve"> </w:t>
      </w:r>
      <w:r>
        <w:rPr>
          <w:sz w:val="24"/>
        </w:rPr>
        <w:t xml:space="preserve">the </w:t>
      </w:r>
      <w:r>
        <w:rPr>
          <w:rFonts w:hint="eastAsia"/>
          <w:sz w:val="24"/>
        </w:rPr>
        <w:t>r</w:t>
      </w:r>
      <w:r>
        <w:rPr>
          <w:rFonts w:eastAsia="楷体_GB2312"/>
          <w:sz w:val="24"/>
        </w:rPr>
        <w:t xml:space="preserve">eforms </w:t>
      </w:r>
      <w:r>
        <w:rPr>
          <w:rFonts w:hint="eastAsia"/>
          <w:sz w:val="24"/>
        </w:rPr>
        <w:t xml:space="preserve">in order </w:t>
      </w:r>
      <w:r>
        <w:rPr>
          <w:rFonts w:eastAsia="楷体_GB2312"/>
          <w:sz w:val="24"/>
        </w:rPr>
        <w:t xml:space="preserve">to </w:t>
      </w:r>
      <w:r>
        <w:rPr>
          <w:rFonts w:hint="eastAsia"/>
          <w:sz w:val="24"/>
        </w:rPr>
        <w:t>nurture</w:t>
      </w:r>
      <w:r>
        <w:rPr>
          <w:rFonts w:eastAsia="楷体_GB2312"/>
          <w:sz w:val="24"/>
        </w:rPr>
        <w:t xml:space="preserve"> development and policy financial institutions with Chinese characteristics that provide services for economic development and operate on a sustainable basis.  </w:t>
      </w:r>
    </w:p>
    <w:p>
      <w:pPr>
        <w:rPr>
          <w:sz w:val="24"/>
        </w:rPr>
      </w:pPr>
    </w:p>
    <w:p>
      <w:pPr>
        <w:rPr>
          <w:sz w:val="24"/>
        </w:rPr>
      </w:pPr>
      <w:r>
        <w:rPr>
          <w:rFonts w:eastAsia="楷体_GB2312"/>
          <w:b/>
          <w:sz w:val="24"/>
        </w:rPr>
        <w:t xml:space="preserve">Sixth, </w:t>
      </w:r>
      <w:r>
        <w:rPr>
          <w:b/>
          <w:sz w:val="24"/>
        </w:rPr>
        <w:t>measures</w:t>
      </w:r>
      <w:r>
        <w:rPr>
          <w:rFonts w:hint="eastAsia"/>
          <w:b/>
          <w:sz w:val="24"/>
        </w:rPr>
        <w:t xml:space="preserve"> will be taken to strengthen risk prevention and management in key fields.</w:t>
      </w:r>
      <w:r>
        <w:rPr>
          <w:rFonts w:hint="eastAsia"/>
          <w:sz w:val="24"/>
        </w:rPr>
        <w:t xml:space="preserve"> </w:t>
      </w:r>
      <w:r>
        <w:rPr>
          <w:sz w:val="24"/>
        </w:rPr>
        <w:t>T</w:t>
      </w:r>
      <w:r>
        <w:rPr>
          <w:rFonts w:hint="eastAsia"/>
          <w:sz w:val="24"/>
        </w:rPr>
        <w:t>hinking about the worst-case scenario and with a view to seeking progress ami</w:t>
      </w:r>
      <w:r>
        <w:rPr>
          <w:sz w:val="24"/>
        </w:rPr>
        <w:t>dst</w:t>
      </w:r>
      <w:r>
        <w:rPr>
          <w:rFonts w:hint="eastAsia"/>
          <w:sz w:val="24"/>
        </w:rPr>
        <w:t xml:space="preserve"> stability, the PBC will grasp the principal contradiction</w:t>
      </w:r>
      <w:r>
        <w:rPr>
          <w:sz w:val="24"/>
        </w:rPr>
        <w:t>s</w:t>
      </w:r>
      <w:r>
        <w:rPr>
          <w:rFonts w:hint="eastAsia"/>
          <w:sz w:val="24"/>
        </w:rPr>
        <w:t>, follow the leadership of the Financial Stability and Development Committee under the State Council</w:t>
      </w:r>
      <w:r>
        <w:rPr>
          <w:sz w:val="24"/>
        </w:rPr>
        <w:t>,</w:t>
      </w:r>
      <w:r>
        <w:rPr>
          <w:rFonts w:hint="eastAsia"/>
          <w:sz w:val="24"/>
        </w:rPr>
        <w:t xml:space="preserve"> earnestly fulfill its role </w:t>
      </w:r>
      <w:r>
        <w:rPr>
          <w:sz w:val="24"/>
        </w:rPr>
        <w:t>in</w:t>
      </w:r>
      <w:r>
        <w:rPr>
          <w:rFonts w:hint="eastAsia"/>
          <w:sz w:val="24"/>
        </w:rPr>
        <w:t xml:space="preserve"> the </w:t>
      </w:r>
      <w:r>
        <w:rPr>
          <w:sz w:val="24"/>
        </w:rPr>
        <w:t>c</w:t>
      </w:r>
      <w:r>
        <w:rPr>
          <w:rFonts w:hint="eastAsia"/>
          <w:sz w:val="24"/>
        </w:rPr>
        <w:t>ommittee</w:t>
      </w:r>
      <w:r>
        <w:rPr>
          <w:sz w:val="24"/>
        </w:rPr>
        <w:t>’</w:t>
      </w:r>
      <w:r>
        <w:rPr>
          <w:rFonts w:hint="eastAsia"/>
          <w:sz w:val="24"/>
        </w:rPr>
        <w:t xml:space="preserve">s office, and work together with the relevant departments to work out a timeline and roadmap to prioritize issues that might impact economic and social stability and trigger systemic risks. </w:t>
      </w:r>
      <w:r>
        <w:rPr>
          <w:sz w:val="24"/>
        </w:rPr>
        <w:t>E</w:t>
      </w:r>
      <w:r>
        <w:rPr>
          <w:rFonts w:hint="eastAsia"/>
          <w:sz w:val="24"/>
        </w:rPr>
        <w:t xml:space="preserve">fforts will made to overcome regulatory shortcomings, effectively control </w:t>
      </w:r>
      <w:r>
        <w:rPr>
          <w:sz w:val="24"/>
        </w:rPr>
        <w:t xml:space="preserve">the </w:t>
      </w:r>
      <w:r>
        <w:rPr>
          <w:rFonts w:hint="eastAsia"/>
          <w:sz w:val="24"/>
        </w:rPr>
        <w:t>macro leverage ratio and risks in key areas, address risks stemming from shadow</w:t>
      </w:r>
      <w:r>
        <w:rPr>
          <w:sz w:val="24"/>
        </w:rPr>
        <w:t>-</w:t>
      </w:r>
      <w:r>
        <w:rPr>
          <w:rFonts w:hint="eastAsia"/>
          <w:sz w:val="24"/>
        </w:rPr>
        <w:t xml:space="preserve">banking, and earnestly handle risks pertaining to various financial institutions. </w:t>
      </w:r>
      <w:r>
        <w:rPr>
          <w:sz w:val="24"/>
        </w:rPr>
        <w:t>T</w:t>
      </w:r>
      <w:r>
        <w:rPr>
          <w:rFonts w:hint="eastAsia"/>
          <w:sz w:val="24"/>
        </w:rPr>
        <w:t>he PBC will also continue to pursue c</w:t>
      </w:r>
      <w:r>
        <w:rPr>
          <w:rFonts w:eastAsia="楷体_GB2312"/>
          <w:sz w:val="24"/>
        </w:rPr>
        <w:t>omprehensive policy measures to defend the bottom line in preventing systemic financial risks</w:t>
      </w:r>
      <w:r>
        <w:rPr>
          <w:rFonts w:hint="eastAsia"/>
          <w:sz w:val="24"/>
        </w:rPr>
        <w:t xml:space="preserve"> and </w:t>
      </w:r>
      <w:r>
        <w:rPr>
          <w:sz w:val="24"/>
        </w:rPr>
        <w:t xml:space="preserve">to </w:t>
      </w:r>
      <w:r>
        <w:rPr>
          <w:rFonts w:hint="eastAsia"/>
          <w:sz w:val="24"/>
        </w:rPr>
        <w:t>win the battle of preventing and mitigating major financial risks</w:t>
      </w:r>
      <w:r>
        <w:rPr>
          <w:rFonts w:eastAsia="楷体_GB2312"/>
          <w:sz w:val="24"/>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276" w:lineRule="auto"/>
        <w:jc w:val="left"/>
        <w:rPr>
          <w:rFonts w:eastAsia="Times New Roman"/>
          <w:kern w:val="0"/>
          <w:sz w:val="20"/>
        </w:rPr>
      </w:pPr>
    </w:p>
    <w:p>
      <w:pPr>
        <w:rPr>
          <w:bCs/>
          <w:kern w:val="0"/>
          <w:sz w:val="24"/>
        </w:rPr>
      </w:pPr>
    </w:p>
    <w:p>
      <w:pPr>
        <w:rPr>
          <w:b/>
          <w:kern w:val="0"/>
          <w:sz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276" w:lineRule="auto"/>
        <w:jc w:val="left"/>
        <w:rPr>
          <w:rFonts w:eastAsiaTheme="minorEastAsia"/>
          <w:kern w:val="0"/>
          <w:sz w:val="20"/>
        </w:rPr>
      </w:pPr>
    </w:p>
    <w:p>
      <w:pPr>
        <w:rPr>
          <w:b/>
          <w:kern w:val="0"/>
          <w:sz w:val="24"/>
        </w:rPr>
      </w:pPr>
    </w:p>
    <w:p>
      <w:pPr>
        <w:rPr>
          <w:bCs/>
          <w:kern w:val="0"/>
          <w:sz w:val="24"/>
        </w:rPr>
      </w:pPr>
    </w:p>
    <w:sectPr>
      <w:headerReference r:id="rId5" w:type="first"/>
      <w:headerReference r:id="rId4" w:type="default"/>
      <w:footerReference r:id="rId6" w:type="default"/>
      <w:footerReference r:id="rId7" w:type="even"/>
      <w:endnotePr>
        <w:numFmt w:val="decimal"/>
      </w:endnotePr>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00007A87" w:usb1="80000000" w:usb2="00000008" w:usb3="00000000" w:csb0="400001FF" w:csb1="FFFF0000"/>
  </w:font>
  <w:font w:name="Times">
    <w:altName w:val="Times New Roman"/>
    <w:panose1 w:val="02020603050405020304"/>
    <w:charset w:val="00"/>
    <w:family w:val="roman"/>
    <w:pitch w:val="default"/>
    <w:sig w:usb0="00000000" w:usb1="00000000" w:usb2="00000008" w:usb3="00000000" w:csb0="000001FF" w:csb1="00000000"/>
  </w:font>
  <w:font w:name="Cambria">
    <w:panose1 w:val="02040503050406030204"/>
    <w:charset w:val="00"/>
    <w:family w:val="roman"/>
    <w:pitch w:val="default"/>
    <w:sig w:usb0="A00002EF" w:usb1="4000004B" w:usb2="00000000" w:usb3="00000000" w:csb0="2000009F" w:csb1="00000000"/>
  </w:font>
  <w:font w:name="Segoe UI">
    <w:altName w:val="Shruti"/>
    <w:panose1 w:val="020B0502040204020203"/>
    <w:charset w:val="00"/>
    <w:family w:val="swiss"/>
    <w:pitch w:val="default"/>
    <w:sig w:usb0="00000000" w:usb1="00000000" w:usb2="00000009" w:usb3="00000000" w:csb0="000001DF" w:csb1="00000000"/>
  </w:font>
  <w:font w:name="Cambria Math">
    <w:panose1 w:val="02040503050406030204"/>
    <w:charset w:val="00"/>
    <w:family w:val="roman"/>
    <w:pitch w:val="default"/>
    <w:sig w:usb0="A00002EF" w:usb1="420020EB" w:usb2="00000000" w:usb3="00000000" w:csb0="2000009F" w:csb1="00000000"/>
  </w:font>
  <w:font w:name="SimSun-Identity-H">
    <w:altName w:val="方正舒体"/>
    <w:panose1 w:val="00000000000000000000"/>
    <w:charset w:val="86"/>
    <w:family w:val="auto"/>
    <w:pitch w:val="default"/>
    <w:sig w:usb0="00000000" w:usb1="00000000" w:usb2="00000010" w:usb3="00000000" w:csb0="00040000" w:csb1="00000000"/>
  </w:font>
  <w:font w:name="PMingLiU">
    <w:panose1 w:val="02020300000000000000"/>
    <w:charset w:val="88"/>
    <w:family w:val="roman"/>
    <w:pitch w:val="default"/>
    <w:sig w:usb0="00000003" w:usb1="082E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 PAGE   \* MERGEFORMAT </w:instrText>
    </w:r>
    <w:r>
      <w:fldChar w:fldCharType="separate"/>
    </w:r>
    <w:r>
      <w:rPr>
        <w:lang w:val="zh-CN"/>
      </w:rPr>
      <w:t>5</w:t>
    </w:r>
    <w:r>
      <w:rPr>
        <w:lang w:val="zh-CN"/>
      </w:rPr>
      <w:fldChar w:fldCharType="end"/>
    </w:r>
  </w:p>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p>
    <w:pPr>
      <w:pStyle w:val="57"/>
      <w:jc w:val="center"/>
    </w:pPr>
    <w:r>
      <w:fldChar w:fldCharType="begin"/>
    </w:r>
    <w:r>
      <w:instrText xml:space="preserve"> PAGE   \* MERGEFORMAT </w:instrText>
    </w:r>
    <w:r>
      <w:fldChar w:fldCharType="separate"/>
    </w:r>
    <w:r>
      <w:rPr>
        <w:rFonts w:hint="eastAsia" w:ascii="宋体" w:hAnsi="宋体" w:cs="宋体"/>
        <w:lang w:val="zh-CN"/>
      </w:rPr>
      <w:t>５０</w:t>
    </w:r>
    <w:r>
      <w:rPr>
        <w:rFonts w:hint="eastAsia" w:ascii="宋体" w:hAnsi="宋体" w:cs="宋体"/>
        <w:lang w:val="zh-CN"/>
      </w:rPr>
      <w:fldChar w:fldCharType="end"/>
    </w:r>
  </w:p>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0"/>
      </w:rPr>
    </w:pPr>
    <w:r>
      <w:fldChar w:fldCharType="begin"/>
    </w:r>
    <w:r>
      <w:rPr>
        <w:rStyle w:val="90"/>
      </w:rPr>
      <w:instrText xml:space="preserve">PAGE  </w:instrText>
    </w:r>
    <w:r>
      <w:fldChar w:fldCharType="separate"/>
    </w:r>
    <w:r>
      <w:rPr>
        <w:rStyle w:val="90"/>
      </w:rPr>
      <w:t>9</w:t>
    </w:r>
    <w:r>
      <w:fldChar w:fldCharType="end"/>
    </w:r>
  </w:p>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24"/>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62"/>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165"/>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167"/>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163"/>
      <w:lvlText w:val="%1."/>
      <w:lvlJc w:val="left"/>
      <w:pPr>
        <w:tabs>
          <w:tab w:val="left" w:pos="360"/>
        </w:tabs>
        <w:ind w:left="360" w:hanging="360"/>
      </w:pPr>
    </w:lvl>
  </w:abstractNum>
  <w:abstractNum w:abstractNumId="9">
    <w:nsid w:val="1F7A49F7"/>
    <w:multiLevelType w:val="multilevel"/>
    <w:tmpl w:val="1F7A49F7"/>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509"/>
    <w:rsid w:val="00090519"/>
    <w:rsid w:val="0022533C"/>
    <w:rsid w:val="002E63DC"/>
    <w:rsid w:val="00316369"/>
    <w:rsid w:val="003836F1"/>
    <w:rsid w:val="003A0509"/>
    <w:rsid w:val="00443F5E"/>
    <w:rsid w:val="004619B5"/>
    <w:rsid w:val="004D0ED1"/>
    <w:rsid w:val="00532782"/>
    <w:rsid w:val="005F3CE8"/>
    <w:rsid w:val="00641882"/>
    <w:rsid w:val="006C0D8A"/>
    <w:rsid w:val="0071369B"/>
    <w:rsid w:val="00734BAC"/>
    <w:rsid w:val="00762589"/>
    <w:rsid w:val="007F5A60"/>
    <w:rsid w:val="0094348E"/>
    <w:rsid w:val="009746A3"/>
    <w:rsid w:val="009941AF"/>
    <w:rsid w:val="009D724F"/>
    <w:rsid w:val="00A92205"/>
    <w:rsid w:val="00A977EF"/>
    <w:rsid w:val="00CC17A9"/>
    <w:rsid w:val="00D14632"/>
    <w:rsid w:val="00E3273A"/>
    <w:rsid w:val="00EB5F0D"/>
    <w:rsid w:val="00F9368A"/>
    <w:rsid w:val="7202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unhideWhenUsed="0" w:uiPriority="99"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nhideWhenUsed="0" w:uiPriority="99" w:semiHidden="0" w:name="table of figures"/>
    <w:lsdException w:uiPriority="99" w:name="envelope address"/>
    <w:lsdException w:uiPriority="99" w:name="envelope return"/>
    <w:lsdException w:qFormat="1" w:unhideWhenUsed="0" w:uiPriority="99" w:semiHidden="0" w:name="footnote reference"/>
    <w:lsdException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nhideWhenUsed="0" w:uiPriority="99" w:semiHidden="0" w:name="List Number"/>
    <w:lsdException w:uiPriority="99" w:name="List 2"/>
    <w:lsdException w:uiPriority="99"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qFormat/>
    <w:uiPriority w:val="99"/>
    <w:pPr>
      <w:keepNext/>
      <w:keepLines/>
      <w:spacing w:beforeLines="200" w:afterLines="100"/>
      <w:jc w:val="center"/>
      <w:outlineLvl w:val="0"/>
    </w:pPr>
    <w:rPr>
      <w:rFonts w:eastAsia="黑体"/>
      <w:kern w:val="44"/>
      <w:sz w:val="36"/>
      <w:szCs w:val="44"/>
    </w:rPr>
  </w:style>
  <w:style w:type="paragraph" w:styleId="3">
    <w:name w:val="heading 2"/>
    <w:basedOn w:val="1"/>
    <w:next w:val="1"/>
    <w:link w:val="99"/>
    <w:qFormat/>
    <w:uiPriority w:val="99"/>
    <w:pPr>
      <w:keepNext/>
      <w:keepLines/>
      <w:adjustRightInd w:val="0"/>
      <w:spacing w:before="20" w:after="20"/>
      <w:ind w:firstLine="601" w:firstLineChars="200"/>
      <w:outlineLvl w:val="1"/>
    </w:pPr>
    <w:rPr>
      <w:rFonts w:ascii="仿宋_GB2312" w:hAnsi="宋体" w:eastAsia="仿宋_GB2312"/>
      <w:b/>
      <w:bCs/>
      <w:sz w:val="30"/>
      <w:szCs w:val="30"/>
    </w:rPr>
  </w:style>
  <w:style w:type="paragraph" w:styleId="4">
    <w:name w:val="heading 3"/>
    <w:basedOn w:val="1"/>
    <w:next w:val="1"/>
    <w:link w:val="100"/>
    <w:qFormat/>
    <w:uiPriority w:val="99"/>
    <w:pPr>
      <w:keepNext/>
      <w:keepLines/>
      <w:spacing w:before="60" w:after="60"/>
      <w:ind w:firstLine="561" w:firstLineChars="200"/>
      <w:outlineLvl w:val="2"/>
    </w:pPr>
    <w:rPr>
      <w:rFonts w:ascii="仿宋_GB2312" w:eastAsia="仿宋_GB2312"/>
      <w:b/>
      <w:bCs/>
      <w:sz w:val="28"/>
      <w:szCs w:val="32"/>
    </w:rPr>
  </w:style>
  <w:style w:type="paragraph" w:styleId="5">
    <w:name w:val="heading 4"/>
    <w:basedOn w:val="1"/>
    <w:next w:val="1"/>
    <w:link w:val="101"/>
    <w:qFormat/>
    <w:uiPriority w:val="9"/>
    <w:pPr>
      <w:keepNext/>
      <w:spacing w:after="240" w:line="276" w:lineRule="auto"/>
      <w:outlineLvl w:val="3"/>
    </w:pPr>
    <w:rPr>
      <w:b/>
      <w:bCs/>
      <w:i/>
      <w:szCs w:val="28"/>
    </w:rPr>
  </w:style>
  <w:style w:type="paragraph" w:styleId="6">
    <w:name w:val="heading 5"/>
    <w:basedOn w:val="1"/>
    <w:next w:val="1"/>
    <w:link w:val="102"/>
    <w:qFormat/>
    <w:uiPriority w:val="9"/>
    <w:pPr>
      <w:keepNext/>
      <w:spacing w:after="240" w:line="276" w:lineRule="auto"/>
      <w:outlineLvl w:val="4"/>
    </w:pPr>
    <w:rPr>
      <w:bCs/>
      <w:i/>
      <w:iCs/>
      <w:szCs w:val="26"/>
    </w:rPr>
  </w:style>
  <w:style w:type="paragraph" w:styleId="7">
    <w:name w:val="heading 6"/>
    <w:basedOn w:val="1"/>
    <w:next w:val="1"/>
    <w:link w:val="103"/>
    <w:qFormat/>
    <w:uiPriority w:val="9"/>
    <w:pPr>
      <w:spacing w:after="200" w:line="276" w:lineRule="auto"/>
      <w:outlineLvl w:val="5"/>
    </w:pPr>
    <w:rPr>
      <w:bCs/>
      <w:szCs w:val="22"/>
    </w:rPr>
  </w:style>
  <w:style w:type="paragraph" w:styleId="8">
    <w:name w:val="heading 7"/>
    <w:basedOn w:val="1"/>
    <w:next w:val="1"/>
    <w:link w:val="104"/>
    <w:qFormat/>
    <w:uiPriority w:val="9"/>
    <w:pPr>
      <w:spacing w:after="200" w:line="276" w:lineRule="auto"/>
      <w:outlineLvl w:val="6"/>
    </w:pPr>
  </w:style>
  <w:style w:type="paragraph" w:styleId="9">
    <w:name w:val="heading 8"/>
    <w:basedOn w:val="1"/>
    <w:next w:val="1"/>
    <w:link w:val="105"/>
    <w:qFormat/>
    <w:uiPriority w:val="9"/>
    <w:pPr>
      <w:spacing w:after="200" w:line="276" w:lineRule="auto"/>
      <w:outlineLvl w:val="7"/>
    </w:pPr>
    <w:rPr>
      <w:iCs/>
    </w:rPr>
  </w:style>
  <w:style w:type="paragraph" w:styleId="10">
    <w:name w:val="heading 9"/>
    <w:basedOn w:val="1"/>
    <w:next w:val="1"/>
    <w:link w:val="106"/>
    <w:qFormat/>
    <w:uiPriority w:val="9"/>
    <w:pPr>
      <w:spacing w:after="200" w:line="276" w:lineRule="auto"/>
      <w:outlineLvl w:val="8"/>
    </w:pPr>
    <w:rPr>
      <w:rFonts w:cs="Arial"/>
      <w:szCs w:val="22"/>
    </w:rPr>
  </w:style>
  <w:style w:type="character" w:default="1" w:styleId="88">
    <w:name w:val="Default Paragraph Font"/>
    <w:semiHidden/>
    <w:unhideWhenUsed/>
    <w:uiPriority w:val="1"/>
  </w:style>
  <w:style w:type="table" w:default="1" w:styleId="9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contextualSpacing/>
    </w:pPr>
    <w:rPr>
      <w:szCs w:val="21"/>
    </w:rPr>
  </w:style>
  <w:style w:type="paragraph" w:styleId="12">
    <w:name w:val="annotation subject"/>
    <w:basedOn w:val="13"/>
    <w:next w:val="13"/>
    <w:link w:val="166"/>
    <w:unhideWhenUsed/>
    <w:uiPriority w:val="99"/>
    <w:rPr>
      <w:b/>
      <w:bCs/>
    </w:rPr>
  </w:style>
  <w:style w:type="paragraph" w:styleId="13">
    <w:name w:val="annotation text"/>
    <w:basedOn w:val="1"/>
    <w:link w:val="145"/>
    <w:qFormat/>
    <w:uiPriority w:val="99"/>
  </w:style>
  <w:style w:type="paragraph" w:styleId="14">
    <w:name w:val="toc 7"/>
    <w:basedOn w:val="1"/>
    <w:next w:val="1"/>
    <w:qFormat/>
    <w:uiPriority w:val="99"/>
    <w:pPr>
      <w:spacing w:after="200" w:line="276" w:lineRule="auto"/>
      <w:ind w:left="1440"/>
    </w:pPr>
  </w:style>
  <w:style w:type="paragraph" w:styleId="15">
    <w:name w:val="Body Text First Indent"/>
    <w:basedOn w:val="16"/>
    <w:link w:val="230"/>
    <w:semiHidden/>
    <w:unhideWhenUsed/>
    <w:uiPriority w:val="99"/>
    <w:pPr>
      <w:adjustRightInd/>
      <w:snapToGrid/>
      <w:spacing w:after="120" w:line="240" w:lineRule="auto"/>
      <w:ind w:firstLine="420" w:firstLineChars="100"/>
      <w:jc w:val="both"/>
    </w:pPr>
    <w:rPr>
      <w:rFonts w:ascii="Times New Roman" w:eastAsia="宋体"/>
      <w:color w:val="auto"/>
      <w:kern w:val="2"/>
      <w:sz w:val="21"/>
      <w:szCs w:val="21"/>
    </w:rPr>
  </w:style>
  <w:style w:type="paragraph" w:styleId="16">
    <w:name w:val="Body Text"/>
    <w:basedOn w:val="1"/>
    <w:link w:val="136"/>
    <w:qFormat/>
    <w:uiPriority w:val="99"/>
    <w:pPr>
      <w:adjustRightInd w:val="0"/>
      <w:snapToGrid w:val="0"/>
      <w:spacing w:line="372" w:lineRule="auto"/>
      <w:jc w:val="center"/>
    </w:pPr>
    <w:rPr>
      <w:rFonts w:ascii="楷体_GB2312" w:eastAsia="楷体_GB2312"/>
      <w:color w:val="000000"/>
      <w:kern w:val="0"/>
      <w:sz w:val="28"/>
    </w:rPr>
  </w:style>
  <w:style w:type="paragraph" w:styleId="17">
    <w:name w:val="List Number 2"/>
    <w:basedOn w:val="1"/>
    <w:semiHidden/>
    <w:unhideWhenUsed/>
    <w:uiPriority w:val="99"/>
    <w:pPr>
      <w:numPr>
        <w:ilvl w:val="0"/>
        <w:numId w:val="1"/>
      </w:numPr>
      <w:contextualSpacing/>
    </w:pPr>
    <w:rPr>
      <w:szCs w:val="21"/>
    </w:rPr>
  </w:style>
  <w:style w:type="paragraph" w:styleId="18">
    <w:name w:val="table of authorities"/>
    <w:basedOn w:val="1"/>
    <w:next w:val="1"/>
    <w:semiHidden/>
    <w:unhideWhenUsed/>
    <w:uiPriority w:val="99"/>
    <w:pPr>
      <w:ind w:left="420" w:leftChars="200"/>
    </w:pPr>
    <w:rPr>
      <w:szCs w:val="21"/>
    </w:rPr>
  </w:style>
  <w:style w:type="paragraph" w:styleId="19">
    <w:name w:val="macro"/>
    <w:link w:val="219"/>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232"/>
    <w:semiHidden/>
    <w:unhideWhenUsed/>
    <w:uiPriority w:val="99"/>
    <w:pPr>
      <w:jc w:val="center"/>
    </w:pPr>
    <w:rPr>
      <w:szCs w:val="21"/>
    </w:rPr>
  </w:style>
  <w:style w:type="paragraph" w:styleId="21">
    <w:name w:val="List Bullet 4"/>
    <w:basedOn w:val="1"/>
    <w:uiPriority w:val="99"/>
    <w:pPr>
      <w:tabs>
        <w:tab w:val="left" w:pos="1440"/>
      </w:tabs>
      <w:spacing w:after="200" w:line="276" w:lineRule="auto"/>
      <w:ind w:left="1440" w:hanging="360"/>
    </w:pPr>
  </w:style>
  <w:style w:type="paragraph" w:styleId="22">
    <w:name w:val="index 8"/>
    <w:basedOn w:val="1"/>
    <w:next w:val="1"/>
    <w:qFormat/>
    <w:uiPriority w:val="99"/>
    <w:pPr>
      <w:spacing w:after="200" w:line="276" w:lineRule="auto"/>
      <w:ind w:left="1920" w:hanging="240"/>
    </w:pPr>
  </w:style>
  <w:style w:type="paragraph" w:styleId="23">
    <w:name w:val="E-mail Signature"/>
    <w:basedOn w:val="1"/>
    <w:link w:val="217"/>
    <w:semiHidden/>
    <w:unhideWhenUsed/>
    <w:uiPriority w:val="99"/>
    <w:rPr>
      <w:szCs w:val="21"/>
    </w:rPr>
  </w:style>
  <w:style w:type="paragraph" w:styleId="24">
    <w:name w:val="List Number"/>
    <w:basedOn w:val="1"/>
    <w:uiPriority w:val="99"/>
    <w:pPr>
      <w:numPr>
        <w:ilvl w:val="0"/>
        <w:numId w:val="2"/>
      </w:numPr>
      <w:tabs>
        <w:tab w:val="left" w:pos="360"/>
        <w:tab w:val="clear" w:pos="1800"/>
      </w:tabs>
      <w:spacing w:after="200" w:line="276" w:lineRule="auto"/>
      <w:ind w:left="360"/>
      <w:contextualSpacing/>
    </w:pPr>
  </w:style>
  <w:style w:type="paragraph" w:styleId="25">
    <w:name w:val="Normal Indent"/>
    <w:basedOn w:val="1"/>
    <w:qFormat/>
    <w:uiPriority w:val="99"/>
    <w:pPr>
      <w:ind w:firstLine="420" w:firstLineChars="200"/>
    </w:pPr>
  </w:style>
  <w:style w:type="paragraph" w:styleId="26">
    <w:name w:val="caption"/>
    <w:basedOn w:val="1"/>
    <w:next w:val="1"/>
    <w:qFormat/>
    <w:uiPriority w:val="0"/>
    <w:pPr>
      <w:pBdr>
        <w:top w:val="double" w:color="auto" w:sz="4" w:space="10"/>
        <w:left w:val="double" w:color="auto" w:sz="4" w:space="10"/>
        <w:bottom w:val="double" w:color="auto" w:sz="4" w:space="10"/>
        <w:right w:val="double" w:color="auto" w:sz="4" w:space="10"/>
      </w:pBdr>
      <w:spacing w:beforeLines="50" w:afterLines="50"/>
      <w:jc w:val="center"/>
    </w:pPr>
    <w:rPr>
      <w:rFonts w:hint="eastAsia" w:ascii="黑体" w:eastAsia="黑体"/>
      <w:bCs/>
      <w:sz w:val="28"/>
    </w:rPr>
  </w:style>
  <w:style w:type="paragraph" w:styleId="27">
    <w:name w:val="index 5"/>
    <w:basedOn w:val="1"/>
    <w:next w:val="1"/>
    <w:uiPriority w:val="99"/>
    <w:pPr>
      <w:spacing w:after="200" w:line="276" w:lineRule="auto"/>
      <w:ind w:left="1200" w:hanging="240"/>
    </w:pPr>
  </w:style>
  <w:style w:type="paragraph" w:styleId="28">
    <w:name w:val="List Bullet"/>
    <w:basedOn w:val="1"/>
    <w:qFormat/>
    <w:uiPriority w:val="99"/>
    <w:pPr>
      <w:tabs>
        <w:tab w:val="left" w:pos="720"/>
      </w:tabs>
      <w:spacing w:after="240" w:line="276" w:lineRule="auto"/>
      <w:ind w:left="720" w:hanging="720"/>
    </w:pPr>
  </w:style>
  <w:style w:type="paragraph" w:styleId="29">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0">
    <w:name w:val="Document Map"/>
    <w:basedOn w:val="1"/>
    <w:link w:val="226"/>
    <w:semiHidden/>
    <w:unhideWhenUsed/>
    <w:uiPriority w:val="99"/>
    <w:rPr>
      <w:rFonts w:ascii="宋体"/>
      <w:sz w:val="18"/>
      <w:szCs w:val="18"/>
    </w:rPr>
  </w:style>
  <w:style w:type="paragraph" w:styleId="31">
    <w:name w:val="toa heading"/>
    <w:basedOn w:val="1"/>
    <w:next w:val="1"/>
    <w:semiHidden/>
    <w:unhideWhenUsed/>
    <w:uiPriority w:val="99"/>
    <w:pPr>
      <w:spacing w:before="120"/>
    </w:pPr>
    <w:rPr>
      <w:rFonts w:asciiTheme="majorHAnsi" w:hAnsiTheme="majorHAnsi" w:cstheme="majorBidi"/>
      <w:sz w:val="24"/>
    </w:rPr>
  </w:style>
  <w:style w:type="paragraph" w:styleId="32">
    <w:name w:val="index 6"/>
    <w:basedOn w:val="1"/>
    <w:next w:val="1"/>
    <w:qFormat/>
    <w:uiPriority w:val="99"/>
    <w:pPr>
      <w:spacing w:after="200" w:line="276" w:lineRule="auto"/>
      <w:ind w:left="1440" w:hanging="240"/>
    </w:pPr>
  </w:style>
  <w:style w:type="paragraph" w:styleId="33">
    <w:name w:val="Salutation"/>
    <w:basedOn w:val="1"/>
    <w:next w:val="1"/>
    <w:link w:val="215"/>
    <w:semiHidden/>
    <w:unhideWhenUsed/>
    <w:uiPriority w:val="99"/>
    <w:rPr>
      <w:szCs w:val="21"/>
    </w:rPr>
  </w:style>
  <w:style w:type="paragraph" w:styleId="34">
    <w:name w:val="Body Text 3"/>
    <w:basedOn w:val="1"/>
    <w:link w:val="110"/>
    <w:uiPriority w:val="99"/>
    <w:rPr>
      <w:rFonts w:ascii="仿宋_GB2312" w:eastAsia="仿宋_GB2312"/>
      <w:color w:val="000000"/>
      <w:sz w:val="28"/>
    </w:rPr>
  </w:style>
  <w:style w:type="paragraph" w:styleId="35">
    <w:name w:val="Closing"/>
    <w:basedOn w:val="1"/>
    <w:link w:val="220"/>
    <w:semiHidden/>
    <w:unhideWhenUsed/>
    <w:uiPriority w:val="99"/>
    <w:pPr>
      <w:ind w:left="100" w:leftChars="2100"/>
    </w:pPr>
    <w:rPr>
      <w:szCs w:val="21"/>
    </w:rPr>
  </w:style>
  <w:style w:type="paragraph" w:styleId="36">
    <w:name w:val="List Bullet 3"/>
    <w:basedOn w:val="1"/>
    <w:uiPriority w:val="99"/>
    <w:pPr>
      <w:tabs>
        <w:tab w:val="left" w:pos="1080"/>
      </w:tabs>
      <w:spacing w:after="200" w:line="276" w:lineRule="auto"/>
      <w:ind w:left="1080" w:hanging="360"/>
    </w:pPr>
  </w:style>
  <w:style w:type="paragraph" w:styleId="37">
    <w:name w:val="Body Text Indent"/>
    <w:basedOn w:val="1"/>
    <w:link w:val="139"/>
    <w:qFormat/>
    <w:uiPriority w:val="99"/>
    <w:pPr>
      <w:ind w:firstLine="600" w:firstLineChars="200"/>
    </w:pPr>
    <w:rPr>
      <w:rFonts w:ascii="仿宋_GB2312" w:eastAsia="仿宋_GB2312"/>
      <w:sz w:val="30"/>
      <w:szCs w:val="20"/>
    </w:rPr>
  </w:style>
  <w:style w:type="paragraph" w:styleId="38">
    <w:name w:val="List Number 3"/>
    <w:basedOn w:val="1"/>
    <w:semiHidden/>
    <w:unhideWhenUsed/>
    <w:uiPriority w:val="99"/>
    <w:pPr>
      <w:numPr>
        <w:ilvl w:val="0"/>
        <w:numId w:val="3"/>
      </w:numPr>
      <w:contextualSpacing/>
    </w:pPr>
    <w:rPr>
      <w:szCs w:val="21"/>
    </w:rPr>
  </w:style>
  <w:style w:type="paragraph" w:styleId="39">
    <w:name w:val="List 2"/>
    <w:basedOn w:val="1"/>
    <w:semiHidden/>
    <w:unhideWhenUsed/>
    <w:uiPriority w:val="99"/>
    <w:pPr>
      <w:ind w:left="100" w:leftChars="200" w:hanging="200" w:hangingChars="200"/>
      <w:contextualSpacing/>
    </w:pPr>
    <w:rPr>
      <w:szCs w:val="21"/>
    </w:rPr>
  </w:style>
  <w:style w:type="paragraph" w:styleId="40">
    <w:name w:val="List Continue"/>
    <w:basedOn w:val="1"/>
    <w:semiHidden/>
    <w:unhideWhenUsed/>
    <w:uiPriority w:val="99"/>
    <w:pPr>
      <w:spacing w:after="120"/>
      <w:ind w:left="420" w:leftChars="200"/>
      <w:contextualSpacing/>
    </w:pPr>
    <w:rPr>
      <w:szCs w:val="21"/>
    </w:rPr>
  </w:style>
  <w:style w:type="paragraph" w:styleId="41">
    <w:name w:val="Block Text"/>
    <w:basedOn w:val="1"/>
    <w:semiHidden/>
    <w:unhideWhenUsed/>
    <w:uiPriority w:val="99"/>
    <w:pPr>
      <w:spacing w:after="120"/>
      <w:ind w:left="1440" w:leftChars="700" w:right="1440" w:rightChars="700"/>
    </w:pPr>
    <w:rPr>
      <w:szCs w:val="21"/>
    </w:rPr>
  </w:style>
  <w:style w:type="paragraph" w:styleId="42">
    <w:name w:val="List Bullet 2"/>
    <w:basedOn w:val="1"/>
    <w:uiPriority w:val="99"/>
    <w:pPr>
      <w:tabs>
        <w:tab w:val="left" w:pos="720"/>
      </w:tabs>
      <w:spacing w:after="200" w:line="276" w:lineRule="auto"/>
      <w:ind w:left="720" w:hanging="360"/>
    </w:pPr>
  </w:style>
  <w:style w:type="paragraph" w:styleId="43">
    <w:name w:val="HTML Address"/>
    <w:basedOn w:val="1"/>
    <w:link w:val="214"/>
    <w:semiHidden/>
    <w:unhideWhenUsed/>
    <w:uiPriority w:val="99"/>
    <w:rPr>
      <w:i/>
      <w:iCs/>
      <w:szCs w:val="21"/>
    </w:rPr>
  </w:style>
  <w:style w:type="paragraph" w:styleId="44">
    <w:name w:val="index 4"/>
    <w:basedOn w:val="1"/>
    <w:next w:val="1"/>
    <w:uiPriority w:val="99"/>
    <w:pPr>
      <w:spacing w:after="200" w:line="276" w:lineRule="auto"/>
      <w:ind w:left="960" w:hanging="240"/>
    </w:pPr>
  </w:style>
  <w:style w:type="paragraph" w:styleId="45">
    <w:name w:val="toc 5"/>
    <w:basedOn w:val="1"/>
    <w:next w:val="1"/>
    <w:qFormat/>
    <w:uiPriority w:val="99"/>
    <w:pPr>
      <w:spacing w:after="200" w:line="276" w:lineRule="auto"/>
      <w:ind w:left="960"/>
    </w:pPr>
  </w:style>
  <w:style w:type="paragraph" w:styleId="46">
    <w:name w:val="toc 3"/>
    <w:basedOn w:val="1"/>
    <w:next w:val="1"/>
    <w:qFormat/>
    <w:uiPriority w:val="99"/>
    <w:pPr>
      <w:spacing w:after="200" w:line="276" w:lineRule="auto"/>
      <w:ind w:left="480"/>
    </w:pPr>
  </w:style>
  <w:style w:type="paragraph" w:styleId="47">
    <w:name w:val="Plain Text"/>
    <w:basedOn w:val="1"/>
    <w:link w:val="216"/>
    <w:semiHidden/>
    <w:unhideWhenUsed/>
    <w:uiPriority w:val="99"/>
    <w:rPr>
      <w:rFonts w:ascii="宋体" w:hAnsi="Courier New" w:cs="Courier New"/>
      <w:szCs w:val="21"/>
    </w:rPr>
  </w:style>
  <w:style w:type="paragraph" w:styleId="48">
    <w:name w:val="List Bullet 5"/>
    <w:basedOn w:val="1"/>
    <w:qFormat/>
    <w:uiPriority w:val="99"/>
    <w:pPr>
      <w:tabs>
        <w:tab w:val="left" w:pos="1800"/>
      </w:tabs>
      <w:spacing w:after="200" w:line="276" w:lineRule="auto"/>
      <w:ind w:left="1800" w:hanging="360"/>
    </w:pPr>
  </w:style>
  <w:style w:type="paragraph" w:styleId="49">
    <w:name w:val="List Number 4"/>
    <w:basedOn w:val="1"/>
    <w:semiHidden/>
    <w:unhideWhenUsed/>
    <w:uiPriority w:val="99"/>
    <w:pPr>
      <w:numPr>
        <w:ilvl w:val="0"/>
        <w:numId w:val="4"/>
      </w:numPr>
      <w:contextualSpacing/>
    </w:pPr>
    <w:rPr>
      <w:szCs w:val="21"/>
    </w:rPr>
  </w:style>
  <w:style w:type="paragraph" w:styleId="50">
    <w:name w:val="toc 8"/>
    <w:basedOn w:val="1"/>
    <w:next w:val="1"/>
    <w:qFormat/>
    <w:uiPriority w:val="99"/>
    <w:pPr>
      <w:spacing w:after="200" w:line="276" w:lineRule="auto"/>
      <w:ind w:left="1680"/>
    </w:pPr>
  </w:style>
  <w:style w:type="paragraph" w:styleId="51">
    <w:name w:val="index 3"/>
    <w:basedOn w:val="1"/>
    <w:next w:val="1"/>
    <w:uiPriority w:val="99"/>
    <w:pPr>
      <w:spacing w:after="200" w:line="276" w:lineRule="auto"/>
      <w:ind w:left="720" w:hanging="240"/>
    </w:pPr>
  </w:style>
  <w:style w:type="paragraph" w:styleId="52">
    <w:name w:val="Date"/>
    <w:basedOn w:val="1"/>
    <w:next w:val="1"/>
    <w:link w:val="128"/>
    <w:uiPriority w:val="0"/>
    <w:rPr>
      <w:rFonts w:ascii="仿宋_GB2312" w:eastAsia="仿宋_GB2312"/>
      <w:sz w:val="28"/>
      <w:szCs w:val="20"/>
    </w:rPr>
  </w:style>
  <w:style w:type="paragraph" w:styleId="53">
    <w:name w:val="Body Text Indent 2"/>
    <w:basedOn w:val="1"/>
    <w:link w:val="113"/>
    <w:uiPriority w:val="99"/>
    <w:pPr>
      <w:ind w:firstLine="560" w:firstLineChars="200"/>
    </w:pPr>
    <w:rPr>
      <w:rFonts w:ascii="仿宋_GB2312" w:eastAsia="仿宋_GB2312"/>
      <w:kern w:val="0"/>
      <w:sz w:val="28"/>
      <w:szCs w:val="28"/>
    </w:rPr>
  </w:style>
  <w:style w:type="paragraph" w:styleId="54">
    <w:name w:val="endnote text"/>
    <w:basedOn w:val="1"/>
    <w:link w:val="225"/>
    <w:semiHidden/>
    <w:unhideWhenUsed/>
    <w:uiPriority w:val="99"/>
    <w:pPr>
      <w:snapToGrid w:val="0"/>
      <w:jc w:val="left"/>
    </w:pPr>
    <w:rPr>
      <w:szCs w:val="21"/>
    </w:rPr>
  </w:style>
  <w:style w:type="paragraph" w:styleId="55">
    <w:name w:val="List Continue 5"/>
    <w:basedOn w:val="1"/>
    <w:semiHidden/>
    <w:unhideWhenUsed/>
    <w:uiPriority w:val="99"/>
    <w:pPr>
      <w:spacing w:after="120"/>
      <w:ind w:left="2100" w:leftChars="1000"/>
      <w:contextualSpacing/>
    </w:pPr>
    <w:rPr>
      <w:szCs w:val="21"/>
    </w:rPr>
  </w:style>
  <w:style w:type="paragraph" w:styleId="56">
    <w:name w:val="Balloon Text"/>
    <w:basedOn w:val="1"/>
    <w:link w:val="199"/>
    <w:unhideWhenUsed/>
    <w:qFormat/>
    <w:uiPriority w:val="99"/>
    <w:rPr>
      <w:sz w:val="18"/>
      <w:szCs w:val="18"/>
    </w:rPr>
  </w:style>
  <w:style w:type="paragraph" w:styleId="57">
    <w:name w:val="footer"/>
    <w:basedOn w:val="1"/>
    <w:link w:val="114"/>
    <w:qFormat/>
    <w:uiPriority w:val="99"/>
    <w:pPr>
      <w:tabs>
        <w:tab w:val="center" w:pos="4153"/>
        <w:tab w:val="right" w:pos="8306"/>
      </w:tabs>
      <w:snapToGrid w:val="0"/>
      <w:jc w:val="left"/>
    </w:pPr>
    <w:rPr>
      <w:sz w:val="18"/>
      <w:szCs w:val="18"/>
    </w:rPr>
  </w:style>
  <w:style w:type="paragraph" w:styleId="58">
    <w:name w:val="envelope return"/>
    <w:basedOn w:val="1"/>
    <w:semiHidden/>
    <w:unhideWhenUsed/>
    <w:uiPriority w:val="99"/>
    <w:pPr>
      <w:snapToGrid w:val="0"/>
    </w:pPr>
    <w:rPr>
      <w:rFonts w:asciiTheme="majorHAnsi" w:hAnsiTheme="majorHAnsi" w:eastAsiaTheme="majorEastAsia" w:cstheme="majorBidi"/>
      <w:szCs w:val="21"/>
    </w:rPr>
  </w:style>
  <w:style w:type="paragraph" w:styleId="59">
    <w:name w:val="Body Text First Indent 2"/>
    <w:basedOn w:val="37"/>
    <w:link w:val="231"/>
    <w:semiHidden/>
    <w:unhideWhenUsed/>
    <w:uiPriority w:val="99"/>
    <w:pPr>
      <w:spacing w:after="120"/>
      <w:ind w:left="420" w:leftChars="200" w:firstLine="420"/>
    </w:pPr>
    <w:rPr>
      <w:rFonts w:ascii="Times New Roman" w:eastAsia="宋体"/>
      <w:sz w:val="21"/>
      <w:szCs w:val="21"/>
    </w:rPr>
  </w:style>
  <w:style w:type="paragraph" w:styleId="60">
    <w:name w:val="header"/>
    <w:basedOn w:val="1"/>
    <w:link w:val="118"/>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223"/>
    <w:semiHidden/>
    <w:unhideWhenUsed/>
    <w:uiPriority w:val="99"/>
    <w:pPr>
      <w:ind w:left="100" w:leftChars="2100"/>
    </w:pPr>
    <w:rPr>
      <w:szCs w:val="21"/>
    </w:rPr>
  </w:style>
  <w:style w:type="paragraph" w:styleId="62">
    <w:name w:val="toc 1"/>
    <w:basedOn w:val="1"/>
    <w:next w:val="1"/>
    <w:qFormat/>
    <w:uiPriority w:val="39"/>
    <w:pPr>
      <w:tabs>
        <w:tab w:val="right" w:leader="dot" w:pos="8296"/>
      </w:tabs>
      <w:jc w:val="center"/>
    </w:pPr>
    <w:rPr>
      <w:rFonts w:ascii="黑体" w:eastAsia="黑体"/>
      <w:kern w:val="0"/>
      <w:sz w:val="36"/>
      <w:szCs w:val="36"/>
    </w:rPr>
  </w:style>
  <w:style w:type="paragraph" w:styleId="63">
    <w:name w:val="List Continue 4"/>
    <w:basedOn w:val="1"/>
    <w:semiHidden/>
    <w:unhideWhenUsed/>
    <w:uiPriority w:val="99"/>
    <w:pPr>
      <w:spacing w:after="120"/>
      <w:ind w:left="1680" w:leftChars="800"/>
      <w:contextualSpacing/>
    </w:pPr>
    <w:rPr>
      <w:szCs w:val="21"/>
    </w:rPr>
  </w:style>
  <w:style w:type="paragraph" w:styleId="64">
    <w:name w:val="toc 4"/>
    <w:basedOn w:val="1"/>
    <w:next w:val="1"/>
    <w:uiPriority w:val="99"/>
    <w:pPr>
      <w:spacing w:after="200" w:line="276" w:lineRule="auto"/>
      <w:ind w:left="720"/>
    </w:pPr>
  </w:style>
  <w:style w:type="paragraph" w:styleId="65">
    <w:name w:val="index heading"/>
    <w:basedOn w:val="1"/>
    <w:next w:val="66"/>
    <w:semiHidden/>
    <w:unhideWhenUsed/>
    <w:uiPriority w:val="99"/>
    <w:rPr>
      <w:rFonts w:asciiTheme="majorHAnsi" w:hAnsiTheme="majorHAnsi" w:eastAsiaTheme="majorEastAsia" w:cstheme="majorBidi"/>
      <w:b/>
      <w:bCs/>
      <w:szCs w:val="21"/>
    </w:rPr>
  </w:style>
  <w:style w:type="paragraph" w:styleId="66">
    <w:name w:val="index 1"/>
    <w:basedOn w:val="1"/>
    <w:next w:val="1"/>
    <w:uiPriority w:val="99"/>
    <w:pPr>
      <w:spacing w:after="200" w:line="276" w:lineRule="auto"/>
      <w:ind w:left="240" w:hanging="240"/>
    </w:pPr>
  </w:style>
  <w:style w:type="paragraph" w:styleId="67">
    <w:name w:val="Subtitle"/>
    <w:basedOn w:val="1"/>
    <w:next w:val="1"/>
    <w:link w:val="21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uiPriority w:val="99"/>
    <w:pPr>
      <w:numPr>
        <w:ilvl w:val="0"/>
        <w:numId w:val="5"/>
      </w:numPr>
      <w:contextualSpacing/>
    </w:pPr>
    <w:rPr>
      <w:szCs w:val="21"/>
    </w:rPr>
  </w:style>
  <w:style w:type="paragraph" w:styleId="69">
    <w:name w:val="List"/>
    <w:basedOn w:val="1"/>
    <w:semiHidden/>
    <w:unhideWhenUsed/>
    <w:uiPriority w:val="99"/>
    <w:pPr>
      <w:ind w:left="200" w:hanging="200" w:hangingChars="200"/>
      <w:contextualSpacing/>
    </w:pPr>
    <w:rPr>
      <w:szCs w:val="21"/>
    </w:rPr>
  </w:style>
  <w:style w:type="paragraph" w:styleId="70">
    <w:name w:val="footnote text"/>
    <w:basedOn w:val="1"/>
    <w:link w:val="107"/>
    <w:uiPriority w:val="99"/>
    <w:pPr>
      <w:snapToGrid w:val="0"/>
      <w:jc w:val="left"/>
    </w:pPr>
    <w:rPr>
      <w:sz w:val="18"/>
      <w:szCs w:val="18"/>
    </w:rPr>
  </w:style>
  <w:style w:type="paragraph" w:styleId="71">
    <w:name w:val="toc 6"/>
    <w:basedOn w:val="1"/>
    <w:next w:val="1"/>
    <w:uiPriority w:val="99"/>
    <w:pPr>
      <w:spacing w:after="200" w:line="276" w:lineRule="auto"/>
      <w:ind w:left="1200"/>
    </w:pPr>
  </w:style>
  <w:style w:type="paragraph" w:styleId="72">
    <w:name w:val="List 5"/>
    <w:basedOn w:val="1"/>
    <w:semiHidden/>
    <w:unhideWhenUsed/>
    <w:uiPriority w:val="99"/>
    <w:pPr>
      <w:ind w:left="100" w:leftChars="800" w:hanging="200" w:hangingChars="200"/>
      <w:contextualSpacing/>
    </w:pPr>
    <w:rPr>
      <w:szCs w:val="21"/>
    </w:rPr>
  </w:style>
  <w:style w:type="paragraph" w:styleId="73">
    <w:name w:val="Body Text Indent 3"/>
    <w:basedOn w:val="1"/>
    <w:link w:val="131"/>
    <w:qFormat/>
    <w:uiPriority w:val="99"/>
    <w:pPr>
      <w:spacing w:line="600" w:lineRule="exact"/>
      <w:ind w:firstLine="560" w:firstLineChars="200"/>
    </w:pPr>
    <w:rPr>
      <w:rFonts w:ascii="楷体_GB2312" w:eastAsia="楷体_GB2312"/>
      <w:color w:val="000000"/>
      <w:kern w:val="0"/>
      <w:sz w:val="28"/>
    </w:rPr>
  </w:style>
  <w:style w:type="paragraph" w:styleId="74">
    <w:name w:val="index 7"/>
    <w:basedOn w:val="1"/>
    <w:next w:val="1"/>
    <w:qFormat/>
    <w:uiPriority w:val="99"/>
    <w:pPr>
      <w:spacing w:after="200" w:line="276" w:lineRule="auto"/>
      <w:ind w:left="1680" w:hanging="240"/>
    </w:pPr>
  </w:style>
  <w:style w:type="paragraph" w:styleId="75">
    <w:name w:val="index 9"/>
    <w:basedOn w:val="1"/>
    <w:next w:val="1"/>
    <w:uiPriority w:val="99"/>
    <w:pPr>
      <w:spacing w:after="200" w:line="276" w:lineRule="auto"/>
      <w:ind w:left="2160" w:hanging="240"/>
    </w:pPr>
  </w:style>
  <w:style w:type="paragraph" w:styleId="76">
    <w:name w:val="table of figures"/>
    <w:basedOn w:val="1"/>
    <w:next w:val="1"/>
    <w:uiPriority w:val="99"/>
    <w:pPr>
      <w:ind w:left="840" w:leftChars="200" w:hanging="420" w:hangingChars="200"/>
    </w:pPr>
  </w:style>
  <w:style w:type="paragraph" w:styleId="77">
    <w:name w:val="toc 2"/>
    <w:basedOn w:val="1"/>
    <w:next w:val="1"/>
    <w:qFormat/>
    <w:uiPriority w:val="39"/>
    <w:pPr>
      <w:tabs>
        <w:tab w:val="right" w:leader="dot" w:pos="8296"/>
      </w:tabs>
      <w:spacing w:line="324" w:lineRule="auto"/>
      <w:jc w:val="center"/>
    </w:pPr>
    <w:rPr>
      <w:rFonts w:ascii="楷体_GB2312" w:eastAsia="楷体_GB2312"/>
      <w:color w:val="000000"/>
      <w:kern w:val="0"/>
      <w:sz w:val="24"/>
      <w:szCs w:val="36"/>
    </w:rPr>
  </w:style>
  <w:style w:type="paragraph" w:styleId="78">
    <w:name w:val="toc 9"/>
    <w:basedOn w:val="1"/>
    <w:next w:val="1"/>
    <w:uiPriority w:val="99"/>
    <w:pPr>
      <w:spacing w:after="200" w:line="276" w:lineRule="auto"/>
      <w:ind w:left="1920"/>
    </w:pPr>
  </w:style>
  <w:style w:type="paragraph" w:styleId="79">
    <w:name w:val="Body Text 2"/>
    <w:basedOn w:val="1"/>
    <w:link w:val="134"/>
    <w:qFormat/>
    <w:uiPriority w:val="99"/>
    <w:rPr>
      <w:rFonts w:ascii="仿宋_GB2312" w:eastAsia="仿宋_GB2312"/>
      <w:b/>
      <w:sz w:val="30"/>
      <w:szCs w:val="20"/>
    </w:rPr>
  </w:style>
  <w:style w:type="paragraph" w:styleId="80">
    <w:name w:val="List 4"/>
    <w:basedOn w:val="1"/>
    <w:semiHidden/>
    <w:unhideWhenUsed/>
    <w:uiPriority w:val="99"/>
    <w:pPr>
      <w:ind w:left="100" w:leftChars="600" w:hanging="200" w:hangingChars="200"/>
      <w:contextualSpacing/>
    </w:pPr>
    <w:rPr>
      <w:szCs w:val="21"/>
    </w:rPr>
  </w:style>
  <w:style w:type="paragraph" w:styleId="81">
    <w:name w:val="List Continue 2"/>
    <w:basedOn w:val="1"/>
    <w:semiHidden/>
    <w:unhideWhenUsed/>
    <w:uiPriority w:val="99"/>
    <w:pPr>
      <w:spacing w:after="120"/>
      <w:ind w:left="840" w:leftChars="400"/>
      <w:contextualSpacing/>
    </w:pPr>
    <w:rPr>
      <w:szCs w:val="21"/>
    </w:rPr>
  </w:style>
  <w:style w:type="paragraph" w:styleId="82">
    <w:name w:val="Message Header"/>
    <w:basedOn w:val="1"/>
    <w:link w:val="227"/>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3">
    <w:name w:val="HTML Preformatted"/>
    <w:basedOn w:val="1"/>
    <w:link w:val="117"/>
    <w:qFormat/>
    <w:uiPriority w:val="99"/>
    <w:rPr>
      <w:rFonts w:ascii="Courier New" w:hAnsi="Courier New" w:cs="Courier New"/>
      <w:sz w:val="20"/>
      <w:szCs w:val="20"/>
    </w:rPr>
  </w:style>
  <w:style w:type="paragraph" w:styleId="84">
    <w:name w:val="Normal (Web)"/>
    <w:basedOn w:val="1"/>
    <w:qFormat/>
    <w:uiPriority w:val="99"/>
    <w:pPr>
      <w:widowControl/>
      <w:spacing w:before="100" w:beforeAutospacing="1" w:after="100" w:afterAutospacing="1"/>
      <w:jc w:val="left"/>
    </w:pPr>
    <w:rPr>
      <w:rFonts w:hint="eastAsia" w:ascii="Arial Unicode MS" w:hAnsi="Arial Unicode MS" w:eastAsia="Arial Unicode MS" w:cs="Arial Unicode MS"/>
      <w:kern w:val="0"/>
      <w:sz w:val="24"/>
    </w:rPr>
  </w:style>
  <w:style w:type="paragraph" w:styleId="85">
    <w:name w:val="List Continue 3"/>
    <w:basedOn w:val="1"/>
    <w:semiHidden/>
    <w:unhideWhenUsed/>
    <w:uiPriority w:val="99"/>
    <w:pPr>
      <w:spacing w:after="120"/>
      <w:ind w:left="1260" w:leftChars="600"/>
      <w:contextualSpacing/>
    </w:pPr>
    <w:rPr>
      <w:szCs w:val="21"/>
    </w:rPr>
  </w:style>
  <w:style w:type="paragraph" w:styleId="86">
    <w:name w:val="index 2"/>
    <w:basedOn w:val="1"/>
    <w:next w:val="1"/>
    <w:uiPriority w:val="99"/>
    <w:pPr>
      <w:spacing w:after="200" w:line="276" w:lineRule="auto"/>
      <w:ind w:left="480" w:hanging="240"/>
    </w:pPr>
  </w:style>
  <w:style w:type="paragraph" w:styleId="87">
    <w:name w:val="Title"/>
    <w:basedOn w:val="1"/>
    <w:link w:val="168"/>
    <w:qFormat/>
    <w:uiPriority w:val="10"/>
    <w:pPr>
      <w:spacing w:before="240" w:after="60" w:line="276" w:lineRule="auto"/>
      <w:jc w:val="center"/>
      <w:outlineLvl w:val="0"/>
    </w:pPr>
    <w:rPr>
      <w:rFonts w:ascii="Arial" w:hAnsi="Arial" w:cs="Arial"/>
      <w:b/>
      <w:bCs/>
      <w:kern w:val="28"/>
      <w:sz w:val="32"/>
      <w:szCs w:val="32"/>
    </w:rPr>
  </w:style>
  <w:style w:type="character" w:styleId="89">
    <w:name w:val="Strong"/>
    <w:basedOn w:val="88"/>
    <w:qFormat/>
    <w:uiPriority w:val="0"/>
    <w:rPr>
      <w:b/>
      <w:bCs/>
    </w:rPr>
  </w:style>
  <w:style w:type="character" w:styleId="90">
    <w:name w:val="page number"/>
    <w:basedOn w:val="88"/>
    <w:uiPriority w:val="99"/>
  </w:style>
  <w:style w:type="character" w:styleId="91">
    <w:name w:val="FollowedHyperlink"/>
    <w:qFormat/>
    <w:uiPriority w:val="99"/>
    <w:rPr>
      <w:color w:val="800080"/>
      <w:u w:val="single"/>
    </w:rPr>
  </w:style>
  <w:style w:type="character" w:styleId="92">
    <w:name w:val="Emphasis"/>
    <w:qFormat/>
    <w:uiPriority w:val="20"/>
    <w:rPr>
      <w:b/>
      <w:bCs/>
    </w:rPr>
  </w:style>
  <w:style w:type="character" w:styleId="93">
    <w:name w:val="Hyperlink"/>
    <w:qFormat/>
    <w:uiPriority w:val="99"/>
    <w:rPr>
      <w:color w:val="0000FF"/>
      <w:u w:val="single"/>
    </w:rPr>
  </w:style>
  <w:style w:type="character" w:styleId="94">
    <w:name w:val="annotation reference"/>
    <w:basedOn w:val="88"/>
    <w:unhideWhenUsed/>
    <w:uiPriority w:val="99"/>
    <w:rPr>
      <w:sz w:val="16"/>
      <w:szCs w:val="16"/>
    </w:rPr>
  </w:style>
  <w:style w:type="character" w:styleId="95">
    <w:name w:val="footnote reference"/>
    <w:qFormat/>
    <w:uiPriority w:val="99"/>
    <w:rPr>
      <w:rFonts w:cs="Times New Roman"/>
      <w:vertAlign w:val="superscript"/>
    </w:rPr>
  </w:style>
  <w:style w:type="table" w:styleId="97">
    <w:name w:val="Table Grid"/>
    <w:basedOn w:val="96"/>
    <w:qFormat/>
    <w:uiPriority w:val="39"/>
    <w:pPr>
      <w:spacing w:after="200" w:line="276"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8">
    <w:name w:val="标题 1 Char"/>
    <w:basedOn w:val="88"/>
    <w:link w:val="2"/>
    <w:qFormat/>
    <w:uiPriority w:val="99"/>
    <w:rPr>
      <w:rFonts w:ascii="Times New Roman" w:hAnsi="Times New Roman" w:eastAsia="黑体" w:cs="Times New Roman"/>
      <w:kern w:val="44"/>
      <w:sz w:val="36"/>
      <w:szCs w:val="44"/>
    </w:rPr>
  </w:style>
  <w:style w:type="character" w:customStyle="1" w:styleId="99">
    <w:name w:val="标题 2 Char"/>
    <w:basedOn w:val="88"/>
    <w:link w:val="3"/>
    <w:uiPriority w:val="99"/>
    <w:rPr>
      <w:rFonts w:ascii="仿宋_GB2312" w:hAnsi="宋体" w:eastAsia="仿宋_GB2312" w:cs="Times New Roman"/>
      <w:b/>
      <w:bCs/>
      <w:sz w:val="30"/>
      <w:szCs w:val="30"/>
    </w:rPr>
  </w:style>
  <w:style w:type="character" w:customStyle="1" w:styleId="100">
    <w:name w:val="标题 3 Char"/>
    <w:basedOn w:val="88"/>
    <w:link w:val="4"/>
    <w:qFormat/>
    <w:uiPriority w:val="99"/>
    <w:rPr>
      <w:rFonts w:ascii="仿宋_GB2312" w:hAnsi="Times New Roman" w:eastAsia="仿宋_GB2312" w:cs="Times New Roman"/>
      <w:b/>
      <w:bCs/>
      <w:sz w:val="28"/>
      <w:szCs w:val="32"/>
    </w:rPr>
  </w:style>
  <w:style w:type="character" w:customStyle="1" w:styleId="101">
    <w:name w:val="标题 4 Char"/>
    <w:basedOn w:val="88"/>
    <w:link w:val="5"/>
    <w:uiPriority w:val="9"/>
    <w:rPr>
      <w:rFonts w:ascii="Times New Roman" w:hAnsi="Times New Roman" w:eastAsia="宋体" w:cs="Times New Roman"/>
      <w:b/>
      <w:bCs/>
      <w:i/>
      <w:szCs w:val="28"/>
    </w:rPr>
  </w:style>
  <w:style w:type="character" w:customStyle="1" w:styleId="102">
    <w:name w:val="标题 5 Char"/>
    <w:basedOn w:val="88"/>
    <w:link w:val="6"/>
    <w:uiPriority w:val="9"/>
    <w:rPr>
      <w:rFonts w:ascii="Times New Roman" w:hAnsi="Times New Roman" w:eastAsia="宋体" w:cs="Times New Roman"/>
      <w:bCs/>
      <w:i/>
      <w:iCs/>
      <w:szCs w:val="26"/>
    </w:rPr>
  </w:style>
  <w:style w:type="character" w:customStyle="1" w:styleId="103">
    <w:name w:val="标题 6 Char"/>
    <w:basedOn w:val="88"/>
    <w:link w:val="7"/>
    <w:qFormat/>
    <w:uiPriority w:val="9"/>
    <w:rPr>
      <w:rFonts w:ascii="Times New Roman" w:hAnsi="Times New Roman" w:eastAsia="宋体" w:cs="Times New Roman"/>
      <w:bCs/>
    </w:rPr>
  </w:style>
  <w:style w:type="character" w:customStyle="1" w:styleId="104">
    <w:name w:val="标题 7 Char"/>
    <w:basedOn w:val="88"/>
    <w:link w:val="8"/>
    <w:qFormat/>
    <w:uiPriority w:val="9"/>
    <w:rPr>
      <w:rFonts w:ascii="Times New Roman" w:hAnsi="Times New Roman" w:eastAsia="宋体" w:cs="Times New Roman"/>
      <w:szCs w:val="24"/>
    </w:rPr>
  </w:style>
  <w:style w:type="character" w:customStyle="1" w:styleId="105">
    <w:name w:val="标题 8 Char"/>
    <w:basedOn w:val="88"/>
    <w:link w:val="9"/>
    <w:uiPriority w:val="9"/>
    <w:rPr>
      <w:rFonts w:ascii="Times New Roman" w:hAnsi="Times New Roman" w:eastAsia="宋体" w:cs="Times New Roman"/>
      <w:iCs/>
      <w:szCs w:val="24"/>
    </w:rPr>
  </w:style>
  <w:style w:type="character" w:customStyle="1" w:styleId="106">
    <w:name w:val="标题 9 Char"/>
    <w:basedOn w:val="88"/>
    <w:link w:val="10"/>
    <w:uiPriority w:val="9"/>
    <w:rPr>
      <w:rFonts w:ascii="Times New Roman" w:hAnsi="Times New Roman" w:eastAsia="宋体" w:cs="Arial"/>
    </w:rPr>
  </w:style>
  <w:style w:type="character" w:customStyle="1" w:styleId="107">
    <w:name w:val="脚注文本 Char"/>
    <w:basedOn w:val="88"/>
    <w:link w:val="70"/>
    <w:qFormat/>
    <w:uiPriority w:val="99"/>
    <w:rPr>
      <w:rFonts w:ascii="Times New Roman" w:hAnsi="Times New Roman" w:eastAsia="宋体" w:cs="Times New Roman"/>
      <w:sz w:val="18"/>
      <w:szCs w:val="18"/>
    </w:rPr>
  </w:style>
  <w:style w:type="character" w:customStyle="1" w:styleId="108">
    <w:name w:val="正文文本 3 Char"/>
    <w:basedOn w:val="88"/>
    <w:link w:val="109"/>
    <w:uiPriority w:val="99"/>
    <w:rPr>
      <w:rFonts w:ascii="Times New Roman" w:hAnsi="Times New Roman" w:eastAsia="宋体" w:cs="Times New Roman"/>
      <w:sz w:val="16"/>
      <w:szCs w:val="16"/>
    </w:rPr>
  </w:style>
  <w:style w:type="paragraph" w:customStyle="1" w:styleId="109">
    <w:name w:val="Body Text 31"/>
    <w:basedOn w:val="1"/>
    <w:link w:val="108"/>
    <w:uiPriority w:val="0"/>
    <w:rPr>
      <w:sz w:val="16"/>
      <w:szCs w:val="16"/>
    </w:rPr>
  </w:style>
  <w:style w:type="character" w:customStyle="1" w:styleId="110">
    <w:name w:val="正文文本 3 Char1"/>
    <w:basedOn w:val="88"/>
    <w:link w:val="34"/>
    <w:qFormat/>
    <w:uiPriority w:val="0"/>
    <w:rPr>
      <w:rFonts w:ascii="仿宋_GB2312" w:hAnsi="Times New Roman" w:eastAsia="仿宋_GB2312" w:cs="Times New Roman"/>
      <w:color w:val="000000"/>
      <w:sz w:val="28"/>
      <w:szCs w:val="24"/>
    </w:rPr>
  </w:style>
  <w:style w:type="character" w:customStyle="1" w:styleId="111">
    <w:name w:val="正文文本缩进 2 Char"/>
    <w:basedOn w:val="88"/>
    <w:link w:val="112"/>
    <w:qFormat/>
    <w:uiPriority w:val="99"/>
    <w:rPr>
      <w:rFonts w:ascii="Times New Roman" w:hAnsi="Times New Roman" w:eastAsia="宋体" w:cs="Times New Roman"/>
      <w:szCs w:val="24"/>
    </w:rPr>
  </w:style>
  <w:style w:type="paragraph" w:customStyle="1" w:styleId="112">
    <w:name w:val="Body Text Indent 21"/>
    <w:basedOn w:val="1"/>
    <w:link w:val="111"/>
    <w:qFormat/>
    <w:uiPriority w:val="0"/>
    <w:pPr>
      <w:ind w:firstLine="560" w:firstLineChars="200"/>
    </w:pPr>
  </w:style>
  <w:style w:type="character" w:customStyle="1" w:styleId="113">
    <w:name w:val="正文文本缩进 2 Char1"/>
    <w:basedOn w:val="88"/>
    <w:link w:val="53"/>
    <w:uiPriority w:val="0"/>
    <w:rPr>
      <w:rFonts w:ascii="仿宋_GB2312" w:hAnsi="Times New Roman" w:eastAsia="仿宋_GB2312" w:cs="Times New Roman"/>
      <w:kern w:val="0"/>
      <w:sz w:val="28"/>
      <w:szCs w:val="28"/>
    </w:rPr>
  </w:style>
  <w:style w:type="character" w:customStyle="1" w:styleId="114">
    <w:name w:val="页脚 Char"/>
    <w:basedOn w:val="88"/>
    <w:link w:val="57"/>
    <w:qFormat/>
    <w:uiPriority w:val="99"/>
    <w:rPr>
      <w:rFonts w:ascii="Times New Roman" w:hAnsi="Times New Roman" w:eastAsia="宋体" w:cs="Times New Roman"/>
      <w:sz w:val="18"/>
      <w:szCs w:val="18"/>
    </w:rPr>
  </w:style>
  <w:style w:type="character" w:customStyle="1" w:styleId="115">
    <w:name w:val="HTML 预设格式 Char"/>
    <w:basedOn w:val="88"/>
    <w:link w:val="116"/>
    <w:qFormat/>
    <w:uiPriority w:val="99"/>
    <w:rPr>
      <w:rFonts w:ascii="Courier New" w:hAnsi="Courier New" w:eastAsia="宋体" w:cs="Courier New"/>
      <w:sz w:val="20"/>
      <w:szCs w:val="20"/>
    </w:rPr>
  </w:style>
  <w:style w:type="paragraph" w:customStyle="1" w:styleId="116">
    <w:name w:val="HTML Preformatted1"/>
    <w:basedOn w:val="1"/>
    <w:link w:val="115"/>
    <w:qFormat/>
    <w:uiPriority w:val="0"/>
    <w:rPr>
      <w:rFonts w:ascii="Courier New" w:hAnsi="Courier New" w:cs="Courier New"/>
      <w:sz w:val="20"/>
      <w:szCs w:val="20"/>
    </w:rPr>
  </w:style>
  <w:style w:type="character" w:customStyle="1" w:styleId="117">
    <w:name w:val="HTML 预设格式 Char1"/>
    <w:basedOn w:val="88"/>
    <w:link w:val="83"/>
    <w:qFormat/>
    <w:uiPriority w:val="0"/>
    <w:rPr>
      <w:rFonts w:ascii="Courier New" w:hAnsi="Courier New" w:eastAsia="宋体" w:cs="Courier New"/>
      <w:sz w:val="20"/>
      <w:szCs w:val="20"/>
    </w:rPr>
  </w:style>
  <w:style w:type="character" w:customStyle="1" w:styleId="118">
    <w:name w:val="页眉 Char"/>
    <w:basedOn w:val="88"/>
    <w:link w:val="60"/>
    <w:qFormat/>
    <w:uiPriority w:val="99"/>
    <w:rPr>
      <w:rFonts w:ascii="Times New Roman" w:hAnsi="Times New Roman" w:eastAsia="宋体" w:cs="Times New Roman"/>
      <w:sz w:val="18"/>
      <w:szCs w:val="18"/>
    </w:rPr>
  </w:style>
  <w:style w:type="paragraph" w:customStyle="1" w:styleId="119">
    <w:name w:val="样式 jn 第六期正文 + Times 首行缩进:  2 字符"/>
    <w:basedOn w:val="1"/>
    <w:qFormat/>
    <w:uiPriority w:val="0"/>
    <w:pPr>
      <w:spacing w:line="440" w:lineRule="atLeast"/>
      <w:ind w:firstLine="480" w:firstLineChars="200"/>
    </w:pPr>
    <w:rPr>
      <w:rFonts w:ascii="Times" w:hAnsi="Times"/>
      <w:sz w:val="24"/>
      <w:szCs w:val="20"/>
    </w:rPr>
  </w:style>
  <w:style w:type="paragraph" w:customStyle="1" w:styleId="120">
    <w:name w:val="Balloon Text2"/>
    <w:basedOn w:val="1"/>
    <w:qFormat/>
    <w:uiPriority w:val="0"/>
    <w:rPr>
      <w:sz w:val="18"/>
      <w:szCs w:val="18"/>
    </w:rPr>
  </w:style>
  <w:style w:type="paragraph" w:customStyle="1" w:styleId="121">
    <w:name w:val="样式1"/>
    <w:basedOn w:val="1"/>
    <w:qFormat/>
    <w:uiPriority w:val="0"/>
    <w:pPr>
      <w:spacing w:beforeLines="50" w:afterLines="50"/>
      <w:jc w:val="center"/>
    </w:pPr>
    <w:rPr>
      <w:rFonts w:hint="eastAsia" w:ascii="黑体" w:eastAsia="黑体"/>
      <w:bCs/>
      <w:sz w:val="24"/>
    </w:rPr>
  </w:style>
  <w:style w:type="paragraph" w:customStyle="1" w:styleId="122">
    <w:name w:val="p17"/>
    <w:basedOn w:val="1"/>
    <w:qFormat/>
    <w:uiPriority w:val="99"/>
    <w:pPr>
      <w:widowControl/>
      <w:ind w:firstLine="420"/>
    </w:pPr>
    <w:rPr>
      <w:rFonts w:eastAsia="Arial Unicode MS"/>
      <w:kern w:val="0"/>
      <w:szCs w:val="21"/>
    </w:rPr>
  </w:style>
  <w:style w:type="paragraph" w:styleId="123">
    <w:name w:val="List Paragraph"/>
    <w:basedOn w:val="1"/>
    <w:qFormat/>
    <w:uiPriority w:val="34"/>
    <w:pPr>
      <w:ind w:firstLine="420" w:firstLineChars="200"/>
    </w:pPr>
    <w:rPr>
      <w:rFonts w:ascii="Calibri" w:hAnsi="Calibri"/>
      <w:szCs w:val="22"/>
    </w:rPr>
  </w:style>
  <w:style w:type="paragraph" w:customStyle="1" w:styleId="124">
    <w:name w:val="p18"/>
    <w:basedOn w:val="1"/>
    <w:qFormat/>
    <w:uiPriority w:val="99"/>
    <w:pPr>
      <w:widowControl/>
    </w:pPr>
    <w:rPr>
      <w:rFonts w:ascii="Arial Unicode MS" w:hAnsi="Arial Unicode MS" w:eastAsia="Arial Unicode MS" w:cs="Arial Unicode MS"/>
      <w:kern w:val="0"/>
      <w:sz w:val="30"/>
      <w:szCs w:val="30"/>
    </w:rPr>
  </w:style>
  <w:style w:type="paragraph" w:customStyle="1" w:styleId="125">
    <w:name w:val="p0"/>
    <w:basedOn w:val="1"/>
    <w:qFormat/>
    <w:uiPriority w:val="0"/>
    <w:pPr>
      <w:widowControl/>
    </w:pPr>
    <w:rPr>
      <w:kern w:val="0"/>
      <w:sz w:val="28"/>
      <w:szCs w:val="28"/>
    </w:rPr>
  </w:style>
  <w:style w:type="character" w:customStyle="1" w:styleId="126">
    <w:name w:val="日期 Char"/>
    <w:basedOn w:val="88"/>
    <w:link w:val="127"/>
    <w:qFormat/>
    <w:uiPriority w:val="99"/>
    <w:rPr>
      <w:rFonts w:ascii="Times New Roman" w:hAnsi="Times New Roman" w:eastAsia="宋体" w:cs="Times New Roman"/>
      <w:szCs w:val="24"/>
    </w:rPr>
  </w:style>
  <w:style w:type="paragraph" w:customStyle="1" w:styleId="127">
    <w:name w:val="Date1"/>
    <w:basedOn w:val="1"/>
    <w:next w:val="1"/>
    <w:link w:val="126"/>
    <w:qFormat/>
    <w:uiPriority w:val="0"/>
  </w:style>
  <w:style w:type="character" w:customStyle="1" w:styleId="128">
    <w:name w:val="日期 Char1"/>
    <w:basedOn w:val="88"/>
    <w:link w:val="52"/>
    <w:uiPriority w:val="0"/>
    <w:rPr>
      <w:rFonts w:ascii="仿宋_GB2312" w:hAnsi="Times New Roman" w:eastAsia="仿宋_GB2312" w:cs="Times New Roman"/>
      <w:sz w:val="28"/>
      <w:szCs w:val="20"/>
    </w:rPr>
  </w:style>
  <w:style w:type="character" w:customStyle="1" w:styleId="129">
    <w:name w:val="正文文本缩进 3 Char"/>
    <w:basedOn w:val="88"/>
    <w:link w:val="130"/>
    <w:uiPriority w:val="99"/>
    <w:rPr>
      <w:rFonts w:ascii="Times New Roman" w:hAnsi="Times New Roman" w:eastAsia="宋体" w:cs="Times New Roman"/>
      <w:sz w:val="16"/>
      <w:szCs w:val="16"/>
    </w:rPr>
  </w:style>
  <w:style w:type="paragraph" w:customStyle="1" w:styleId="130">
    <w:name w:val="Body Text Indent 31"/>
    <w:basedOn w:val="1"/>
    <w:link w:val="129"/>
    <w:uiPriority w:val="0"/>
    <w:pPr>
      <w:spacing w:line="600" w:lineRule="exact"/>
      <w:ind w:firstLine="560" w:firstLineChars="200"/>
    </w:pPr>
    <w:rPr>
      <w:sz w:val="16"/>
      <w:szCs w:val="16"/>
    </w:rPr>
  </w:style>
  <w:style w:type="character" w:customStyle="1" w:styleId="131">
    <w:name w:val="正文文本缩进 3 Char1"/>
    <w:basedOn w:val="88"/>
    <w:link w:val="73"/>
    <w:qFormat/>
    <w:uiPriority w:val="0"/>
    <w:rPr>
      <w:rFonts w:ascii="楷体_GB2312" w:hAnsi="Times New Roman" w:eastAsia="楷体_GB2312" w:cs="Times New Roman"/>
      <w:color w:val="000000"/>
      <w:kern w:val="0"/>
      <w:sz w:val="28"/>
      <w:szCs w:val="24"/>
    </w:rPr>
  </w:style>
  <w:style w:type="character" w:customStyle="1" w:styleId="132">
    <w:name w:val="正文文本 2 Char"/>
    <w:basedOn w:val="88"/>
    <w:link w:val="133"/>
    <w:qFormat/>
    <w:uiPriority w:val="99"/>
    <w:rPr>
      <w:rFonts w:ascii="Times New Roman" w:hAnsi="Times New Roman" w:eastAsia="宋体" w:cs="Times New Roman"/>
      <w:szCs w:val="24"/>
    </w:rPr>
  </w:style>
  <w:style w:type="paragraph" w:customStyle="1" w:styleId="133">
    <w:name w:val="Body Text 21"/>
    <w:basedOn w:val="1"/>
    <w:link w:val="132"/>
    <w:uiPriority w:val="0"/>
  </w:style>
  <w:style w:type="character" w:customStyle="1" w:styleId="134">
    <w:name w:val="正文文本 2 Char1"/>
    <w:basedOn w:val="88"/>
    <w:link w:val="79"/>
    <w:qFormat/>
    <w:uiPriority w:val="0"/>
    <w:rPr>
      <w:rFonts w:ascii="仿宋_GB2312" w:hAnsi="Times New Roman" w:eastAsia="仿宋_GB2312" w:cs="Times New Roman"/>
      <w:b/>
      <w:sz w:val="30"/>
      <w:szCs w:val="20"/>
    </w:rPr>
  </w:style>
  <w:style w:type="paragraph" w:customStyle="1" w:styleId="135">
    <w:name w:val="批注框文本{858D7CFB-ED40-4347-BF05-701D383B685F}{858D7CFB-ED40-4347-BF05-701D383B685F}"/>
    <w:basedOn w:val="1"/>
    <w:qFormat/>
    <w:uiPriority w:val="0"/>
    <w:rPr>
      <w:sz w:val="18"/>
      <w:szCs w:val="18"/>
    </w:rPr>
  </w:style>
  <w:style w:type="character" w:customStyle="1" w:styleId="136">
    <w:name w:val="正文文本 Char"/>
    <w:basedOn w:val="88"/>
    <w:link w:val="16"/>
    <w:qFormat/>
    <w:uiPriority w:val="99"/>
    <w:rPr>
      <w:rFonts w:ascii="楷体_GB2312" w:hAnsi="Times New Roman" w:eastAsia="楷体_GB2312" w:cs="Times New Roman"/>
      <w:color w:val="000000"/>
      <w:kern w:val="0"/>
      <w:sz w:val="28"/>
      <w:szCs w:val="24"/>
    </w:rPr>
  </w:style>
  <w:style w:type="character" w:customStyle="1" w:styleId="137">
    <w:name w:val="正文文本缩进 Char"/>
    <w:basedOn w:val="88"/>
    <w:link w:val="138"/>
    <w:uiPriority w:val="99"/>
    <w:rPr>
      <w:rFonts w:ascii="Times New Roman" w:hAnsi="Times New Roman" w:eastAsia="宋体" w:cs="Times New Roman"/>
      <w:szCs w:val="24"/>
    </w:rPr>
  </w:style>
  <w:style w:type="paragraph" w:customStyle="1" w:styleId="138">
    <w:name w:val="Body Text Indent1"/>
    <w:basedOn w:val="1"/>
    <w:link w:val="137"/>
    <w:qFormat/>
    <w:uiPriority w:val="0"/>
    <w:pPr>
      <w:ind w:firstLine="600" w:firstLineChars="200"/>
    </w:pPr>
  </w:style>
  <w:style w:type="character" w:customStyle="1" w:styleId="139">
    <w:name w:val="正文文本缩进 Char1"/>
    <w:basedOn w:val="88"/>
    <w:link w:val="37"/>
    <w:qFormat/>
    <w:uiPriority w:val="0"/>
    <w:rPr>
      <w:rFonts w:ascii="仿宋_GB2312" w:hAnsi="Times New Roman" w:eastAsia="仿宋_GB2312" w:cs="Times New Roman"/>
      <w:sz w:val="30"/>
      <w:szCs w:val="20"/>
    </w:rPr>
  </w:style>
  <w:style w:type="paragraph" w:customStyle="1" w:styleId="140">
    <w:name w:val="p15"/>
    <w:basedOn w:val="1"/>
    <w:uiPriority w:val="0"/>
    <w:pPr>
      <w:widowControl/>
    </w:pPr>
    <w:rPr>
      <w:rFonts w:eastAsia="Arial Unicode MS"/>
      <w:kern w:val="0"/>
      <w:szCs w:val="21"/>
    </w:rPr>
  </w:style>
  <w:style w:type="paragraph" w:customStyle="1" w:styleId="141">
    <w:name w:val="p16"/>
    <w:basedOn w:val="1"/>
    <w:uiPriority w:val="0"/>
    <w:pPr>
      <w:widowControl/>
    </w:pPr>
    <w:rPr>
      <w:rFonts w:eastAsia="Arial Unicode MS"/>
      <w:kern w:val="0"/>
      <w:szCs w:val="21"/>
    </w:rPr>
  </w:style>
  <w:style w:type="character" w:customStyle="1" w:styleId="142">
    <w:name w:val="批注框文本 Char"/>
    <w:basedOn w:val="88"/>
    <w:link w:val="56"/>
    <w:qFormat/>
    <w:uiPriority w:val="99"/>
    <w:rPr>
      <w:rFonts w:ascii="Times New Roman" w:hAnsi="Times New Roman" w:eastAsia="宋体" w:cs="Times New Roman"/>
      <w:sz w:val="18"/>
      <w:szCs w:val="18"/>
    </w:rPr>
  </w:style>
  <w:style w:type="character" w:customStyle="1" w:styleId="143">
    <w:name w:val="页码1"/>
    <w:basedOn w:val="88"/>
    <w:uiPriority w:val="0"/>
  </w:style>
  <w:style w:type="character" w:customStyle="1" w:styleId="144">
    <w:name w:val="批注文字 Char"/>
    <w:basedOn w:val="88"/>
    <w:link w:val="13"/>
    <w:qFormat/>
    <w:uiPriority w:val="99"/>
    <w:rPr>
      <w:rFonts w:ascii="Times New Roman" w:hAnsi="Times New Roman" w:eastAsia="宋体" w:cs="Times New Roman"/>
      <w:szCs w:val="24"/>
    </w:rPr>
  </w:style>
  <w:style w:type="character" w:customStyle="1" w:styleId="145">
    <w:name w:val="批注文字 Char1"/>
    <w:basedOn w:val="88"/>
    <w:link w:val="13"/>
    <w:qFormat/>
    <w:uiPriority w:val="99"/>
    <w:rPr>
      <w:rFonts w:ascii="Times New Roman" w:hAnsi="Times New Roman" w:eastAsia="宋体" w:cs="Times New Roman"/>
      <w:szCs w:val="24"/>
    </w:rPr>
  </w:style>
  <w:style w:type="character" w:customStyle="1" w:styleId="146">
    <w:name w:val="st1"/>
    <w:basedOn w:val="88"/>
    <w:qFormat/>
    <w:uiPriority w:val="0"/>
  </w:style>
  <w:style w:type="character" w:customStyle="1" w:styleId="147">
    <w:name w:val="hps"/>
    <w:basedOn w:val="88"/>
    <w:qFormat/>
    <w:uiPriority w:val="0"/>
  </w:style>
  <w:style w:type="character" w:customStyle="1" w:styleId="148">
    <w:name w:val="批注框文本 Char1"/>
    <w:qFormat/>
    <w:uiPriority w:val="99"/>
    <w:rPr>
      <w:rFonts w:ascii="Times New Roman" w:hAnsi="Times New Roman" w:eastAsia="宋体" w:cs="Times New Roman"/>
      <w:sz w:val="18"/>
      <w:szCs w:val="18"/>
    </w:rPr>
  </w:style>
  <w:style w:type="character" w:customStyle="1" w:styleId="149">
    <w:name w:val="批注主题 Char"/>
    <w:basedOn w:val="144"/>
    <w:link w:val="150"/>
    <w:qFormat/>
    <w:uiPriority w:val="99"/>
  </w:style>
  <w:style w:type="paragraph" w:customStyle="1" w:styleId="150">
    <w:name w:val="批注主题1"/>
    <w:basedOn w:val="13"/>
    <w:next w:val="13"/>
    <w:link w:val="149"/>
    <w:uiPriority w:val="99"/>
  </w:style>
  <w:style w:type="character" w:customStyle="1" w:styleId="151">
    <w:name w:val="批注引用1"/>
    <w:uiPriority w:val="0"/>
    <w:rPr>
      <w:sz w:val="16"/>
      <w:szCs w:val="16"/>
    </w:rPr>
  </w:style>
  <w:style w:type="character" w:customStyle="1" w:styleId="152">
    <w:name w:val="页脚 Char1"/>
    <w:qFormat/>
    <w:uiPriority w:val="99"/>
    <w:rPr>
      <w:rFonts w:ascii="Times New Roman" w:hAnsi="Times New Roman" w:eastAsia="宋体" w:cs="Times New Roman"/>
      <w:sz w:val="18"/>
      <w:szCs w:val="18"/>
    </w:rPr>
  </w:style>
  <w:style w:type="character" w:customStyle="1" w:styleId="153">
    <w:name w:val="页眉 Char1"/>
    <w:qFormat/>
    <w:uiPriority w:val="99"/>
    <w:rPr>
      <w:rFonts w:ascii="Times New Roman" w:hAnsi="Times New Roman" w:eastAsia="宋体" w:cs="Times New Roman"/>
      <w:sz w:val="18"/>
      <w:szCs w:val="18"/>
    </w:rPr>
  </w:style>
  <w:style w:type="paragraph" w:customStyle="1" w:styleId="154">
    <w:name w:val="Revision1"/>
    <w:uiPriority w:val="0"/>
    <w:rPr>
      <w:rFonts w:ascii="Calibri" w:hAnsi="Calibri" w:eastAsia="宋体" w:cs="Times New Roman"/>
      <w:kern w:val="0"/>
      <w:sz w:val="20"/>
      <w:szCs w:val="20"/>
      <w:lang w:val="en-US" w:eastAsia="zh-CN" w:bidi="ar-SA"/>
    </w:rPr>
  </w:style>
  <w:style w:type="paragraph" w:customStyle="1" w:styleId="155">
    <w:name w:val="Defaul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56">
    <w:name w:val="List Paragraph2"/>
    <w:basedOn w:val="1"/>
    <w:uiPriority w:val="0"/>
    <w:pPr>
      <w:ind w:firstLine="420" w:firstLineChars="200"/>
    </w:pPr>
    <w:rPr>
      <w:rFonts w:ascii="Calibri" w:hAnsi="Calibri"/>
      <w:szCs w:val="22"/>
    </w:rPr>
  </w:style>
  <w:style w:type="paragraph" w:customStyle="1" w:styleId="157">
    <w:name w:val="Normal Indent1"/>
    <w:basedOn w:val="1"/>
    <w:qFormat/>
    <w:uiPriority w:val="0"/>
    <w:pPr>
      <w:ind w:firstLine="420" w:firstLineChars="200"/>
    </w:pPr>
  </w:style>
  <w:style w:type="paragraph" w:customStyle="1" w:styleId="158">
    <w:name w:val="Normal (Web)1"/>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4"/>
    </w:rPr>
  </w:style>
  <w:style w:type="paragraph" w:customStyle="1" w:styleId="159">
    <w:name w:val="List Paragraph1"/>
    <w:basedOn w:val="1"/>
    <w:qFormat/>
    <w:uiPriority w:val="0"/>
    <w:pPr>
      <w:ind w:firstLine="420" w:firstLineChars="200"/>
    </w:pPr>
    <w:rPr>
      <w:rFonts w:cs="宋体"/>
    </w:rPr>
  </w:style>
  <w:style w:type="paragraph" w:customStyle="1" w:styleId="160">
    <w:name w:val="_Style 4"/>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61">
    <w:name w:val="Balloon Text1"/>
    <w:basedOn w:val="1"/>
    <w:qFormat/>
    <w:uiPriority w:val="0"/>
    <w:rPr>
      <w:sz w:val="18"/>
      <w:szCs w:val="18"/>
    </w:rPr>
  </w:style>
  <w:style w:type="paragraph" w:customStyle="1" w:styleId="162">
    <w:name w:val="图表目录1"/>
    <w:basedOn w:val="1"/>
    <w:next w:val="1"/>
    <w:uiPriority w:val="0"/>
    <w:pPr>
      <w:numPr>
        <w:ilvl w:val="0"/>
        <w:numId w:val="6"/>
      </w:numPr>
      <w:tabs>
        <w:tab w:val="clear" w:pos="1440"/>
      </w:tabs>
      <w:ind w:left="840" w:leftChars="200" w:hanging="420" w:hangingChars="200"/>
    </w:pPr>
  </w:style>
  <w:style w:type="paragraph" w:customStyle="1" w:styleId="163">
    <w:name w:val="Revision"/>
    <w:uiPriority w:val="99"/>
    <w:pPr>
      <w:numPr>
        <w:ilvl w:val="0"/>
        <w:numId w:val="7"/>
      </w:numPr>
      <w:tabs>
        <w:tab w:val="clear" w:pos="360"/>
      </w:tabs>
      <w:ind w:left="0" w:firstLine="0"/>
    </w:pPr>
    <w:rPr>
      <w:rFonts w:ascii="Calibri" w:hAnsi="Calibri" w:eastAsia="宋体" w:cs="Times New Roman"/>
      <w:kern w:val="2"/>
      <w:sz w:val="21"/>
      <w:szCs w:val="22"/>
      <w:lang w:val="en-US" w:eastAsia="zh-CN" w:bidi="ar-SA"/>
    </w:rPr>
  </w:style>
  <w:style w:type="character" w:customStyle="1" w:styleId="164">
    <w:name w:val="批注主题 Char1"/>
    <w:basedOn w:val="145"/>
    <w:link w:val="165"/>
    <w:qFormat/>
    <w:uiPriority w:val="99"/>
    <w:rPr>
      <w:b/>
      <w:bCs/>
    </w:rPr>
  </w:style>
  <w:style w:type="paragraph" w:customStyle="1" w:styleId="165">
    <w:name w:val="批注主题2"/>
    <w:basedOn w:val="13"/>
    <w:next w:val="13"/>
    <w:link w:val="164"/>
    <w:uiPriority w:val="99"/>
    <w:pPr>
      <w:numPr>
        <w:ilvl w:val="0"/>
        <w:numId w:val="8"/>
      </w:numPr>
      <w:tabs>
        <w:tab w:val="clear" w:pos="1080"/>
      </w:tabs>
      <w:spacing w:after="200" w:line="276" w:lineRule="auto"/>
      <w:ind w:left="0" w:firstLine="0"/>
    </w:pPr>
    <w:rPr>
      <w:b/>
      <w:bCs/>
    </w:rPr>
  </w:style>
  <w:style w:type="character" w:customStyle="1" w:styleId="166">
    <w:name w:val="批注主题 Char2"/>
    <w:basedOn w:val="144"/>
    <w:link w:val="12"/>
    <w:qFormat/>
    <w:uiPriority w:val="99"/>
    <w:rPr>
      <w:b/>
      <w:bCs/>
    </w:rPr>
  </w:style>
  <w:style w:type="paragraph" w:styleId="167">
    <w:name w:val="No Spacing"/>
    <w:qFormat/>
    <w:uiPriority w:val="1"/>
    <w:pPr>
      <w:widowControl w:val="0"/>
      <w:numPr>
        <w:ilvl w:val="0"/>
        <w:numId w:val="9"/>
      </w:numPr>
      <w:tabs>
        <w:tab w:val="clear" w:pos="720"/>
      </w:tabs>
      <w:ind w:left="0" w:firstLine="0"/>
      <w:jc w:val="both"/>
    </w:pPr>
    <w:rPr>
      <w:rFonts w:ascii="Times New Roman" w:hAnsi="Times New Roman" w:eastAsia="宋体" w:cs="Times New Roman"/>
      <w:kern w:val="2"/>
      <w:sz w:val="21"/>
      <w:szCs w:val="24"/>
      <w:lang w:val="en-US" w:eastAsia="zh-CN" w:bidi="ar-SA"/>
    </w:rPr>
  </w:style>
  <w:style w:type="character" w:customStyle="1" w:styleId="168">
    <w:name w:val="标题 Char"/>
    <w:basedOn w:val="88"/>
    <w:link w:val="87"/>
    <w:uiPriority w:val="10"/>
    <w:rPr>
      <w:rFonts w:ascii="Arial" w:hAnsi="Arial" w:eastAsia="宋体" w:cs="Arial"/>
      <w:b/>
      <w:bCs/>
      <w:kern w:val="28"/>
      <w:sz w:val="32"/>
      <w:szCs w:val="32"/>
    </w:rPr>
  </w:style>
  <w:style w:type="paragraph" w:customStyle="1" w:styleId="169">
    <w:name w:val="正文文本 31"/>
    <w:basedOn w:val="1"/>
    <w:uiPriority w:val="0"/>
    <w:pPr>
      <w:spacing w:after="200" w:line="276" w:lineRule="auto"/>
    </w:pPr>
    <w:rPr>
      <w:rFonts w:ascii="仿宋_GB2312" w:eastAsia="仿宋_GB2312"/>
      <w:color w:val="000000"/>
      <w:sz w:val="28"/>
    </w:rPr>
  </w:style>
  <w:style w:type="character" w:customStyle="1" w:styleId="170">
    <w:name w:val="页码11"/>
    <w:basedOn w:val="88"/>
    <w:qFormat/>
    <w:uiPriority w:val="99"/>
  </w:style>
  <w:style w:type="character" w:customStyle="1" w:styleId="171">
    <w:name w:val="批注引用11"/>
    <w:basedOn w:val="88"/>
    <w:qFormat/>
    <w:uiPriority w:val="0"/>
    <w:rPr>
      <w:sz w:val="16"/>
      <w:szCs w:val="16"/>
    </w:rPr>
  </w:style>
  <w:style w:type="character" w:customStyle="1" w:styleId="172">
    <w:name w:val="页码2"/>
    <w:basedOn w:val="88"/>
    <w:qFormat/>
    <w:uiPriority w:val="0"/>
  </w:style>
  <w:style w:type="paragraph" w:customStyle="1" w:styleId="173">
    <w:name w:val="批注主题11"/>
    <w:basedOn w:val="13"/>
    <w:next w:val="13"/>
    <w:qFormat/>
    <w:uiPriority w:val="99"/>
    <w:pPr>
      <w:spacing w:after="200" w:line="276" w:lineRule="auto"/>
    </w:pPr>
  </w:style>
  <w:style w:type="character" w:customStyle="1" w:styleId="174">
    <w:name w:val="apple-converted-space"/>
    <w:basedOn w:val="88"/>
    <w:uiPriority w:val="0"/>
  </w:style>
  <w:style w:type="paragraph" w:customStyle="1" w:styleId="175">
    <w:name w:val="正文文本缩进1"/>
    <w:basedOn w:val="1"/>
    <w:uiPriority w:val="99"/>
    <w:pPr>
      <w:spacing w:after="200" w:line="276" w:lineRule="auto"/>
      <w:ind w:firstLine="600" w:firstLineChars="200"/>
    </w:pPr>
    <w:rPr>
      <w:rFonts w:ascii="仿宋_GB2312" w:eastAsia="仿宋_GB2312"/>
      <w:sz w:val="30"/>
      <w:szCs w:val="20"/>
    </w:rPr>
  </w:style>
  <w:style w:type="paragraph" w:customStyle="1" w:styleId="176">
    <w:name w:val="日期1"/>
    <w:basedOn w:val="1"/>
    <w:next w:val="1"/>
    <w:uiPriority w:val="99"/>
    <w:pPr>
      <w:spacing w:after="200" w:line="276" w:lineRule="auto"/>
    </w:pPr>
    <w:rPr>
      <w:rFonts w:ascii="仿宋_GB2312" w:eastAsia="仿宋_GB2312"/>
      <w:sz w:val="28"/>
      <w:szCs w:val="20"/>
    </w:rPr>
  </w:style>
  <w:style w:type="paragraph" w:customStyle="1" w:styleId="177">
    <w:name w:val="正文文本缩进 21"/>
    <w:basedOn w:val="1"/>
    <w:qFormat/>
    <w:uiPriority w:val="0"/>
    <w:pPr>
      <w:spacing w:after="200" w:line="276" w:lineRule="auto"/>
      <w:ind w:firstLine="560" w:firstLineChars="200"/>
    </w:pPr>
    <w:rPr>
      <w:rFonts w:ascii="仿宋_GB2312" w:eastAsia="仿宋_GB2312"/>
      <w:kern w:val="0"/>
      <w:sz w:val="28"/>
      <w:szCs w:val="28"/>
    </w:rPr>
  </w:style>
  <w:style w:type="paragraph" w:customStyle="1" w:styleId="178">
    <w:name w:val="HTML 预设格式1"/>
    <w:basedOn w:val="1"/>
    <w:qFormat/>
    <w:uiPriority w:val="99"/>
    <w:pPr>
      <w:spacing w:after="200" w:line="276" w:lineRule="auto"/>
    </w:pPr>
    <w:rPr>
      <w:rFonts w:ascii="Courier New" w:hAnsi="Courier New" w:cs="Courier New"/>
      <w:sz w:val="20"/>
      <w:szCs w:val="20"/>
    </w:rPr>
  </w:style>
  <w:style w:type="paragraph" w:customStyle="1" w:styleId="179">
    <w:name w:val="正文文本缩进 31"/>
    <w:basedOn w:val="1"/>
    <w:uiPriority w:val="0"/>
    <w:pPr>
      <w:spacing w:after="200" w:line="600" w:lineRule="exact"/>
      <w:ind w:firstLine="560" w:firstLineChars="200"/>
    </w:pPr>
    <w:rPr>
      <w:rFonts w:ascii="楷体_GB2312" w:eastAsia="楷体_GB2312"/>
      <w:color w:val="000000"/>
      <w:kern w:val="0"/>
      <w:sz w:val="28"/>
    </w:rPr>
  </w:style>
  <w:style w:type="paragraph" w:customStyle="1" w:styleId="180">
    <w:name w:val="正文文本 21"/>
    <w:basedOn w:val="1"/>
    <w:uiPriority w:val="0"/>
    <w:pPr>
      <w:spacing w:after="200" w:line="276" w:lineRule="auto"/>
    </w:pPr>
    <w:rPr>
      <w:rFonts w:ascii="仿宋_GB2312" w:eastAsia="仿宋_GB2312"/>
      <w:b/>
      <w:sz w:val="30"/>
      <w:szCs w:val="20"/>
    </w:rPr>
  </w:style>
  <w:style w:type="paragraph" w:customStyle="1" w:styleId="181">
    <w:name w:val="无间隔1"/>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82">
    <w:name w:val="正文缩进1"/>
    <w:basedOn w:val="1"/>
    <w:qFormat/>
    <w:uiPriority w:val="0"/>
    <w:pPr>
      <w:spacing w:after="200" w:line="276" w:lineRule="auto"/>
      <w:ind w:firstLine="420" w:firstLineChars="200"/>
    </w:pPr>
  </w:style>
  <w:style w:type="paragraph" w:customStyle="1" w:styleId="183">
    <w:name w:val="图表目录11"/>
    <w:basedOn w:val="1"/>
    <w:next w:val="1"/>
    <w:qFormat/>
    <w:uiPriority w:val="0"/>
    <w:pPr>
      <w:spacing w:after="200" w:line="276" w:lineRule="auto"/>
      <w:ind w:left="840" w:leftChars="200" w:hanging="420" w:hangingChars="200"/>
    </w:pPr>
  </w:style>
  <w:style w:type="paragraph" w:customStyle="1" w:styleId="184">
    <w:name w:val="普通(网站)1"/>
    <w:basedOn w:val="1"/>
    <w:uiPriority w:val="99"/>
    <w:pPr>
      <w:widowControl/>
      <w:spacing w:before="100" w:beforeAutospacing="1" w:after="100" w:afterAutospacing="1" w:line="276" w:lineRule="auto"/>
      <w:jc w:val="left"/>
    </w:pPr>
    <w:rPr>
      <w:rFonts w:hint="eastAsia" w:ascii="Arial Unicode MS" w:hAnsi="Arial Unicode MS" w:eastAsia="Arial Unicode MS" w:cs="Arial Unicode MS"/>
      <w:kern w:val="0"/>
      <w:sz w:val="24"/>
    </w:rPr>
  </w:style>
  <w:style w:type="paragraph" w:customStyle="1" w:styleId="185">
    <w:name w:val="修订1"/>
    <w:qFormat/>
    <w:uiPriority w:val="0"/>
    <w:pPr>
      <w:spacing w:after="200" w:line="276" w:lineRule="auto"/>
    </w:pPr>
    <w:rPr>
      <w:rFonts w:ascii="Calibri" w:hAnsi="Calibri" w:eastAsia="宋体" w:cs="Times New Roman"/>
      <w:kern w:val="0"/>
      <w:sz w:val="20"/>
      <w:szCs w:val="20"/>
      <w:lang w:val="en-US" w:eastAsia="zh-CN" w:bidi="ar-SA"/>
    </w:rPr>
  </w:style>
  <w:style w:type="paragraph" w:customStyle="1" w:styleId="186">
    <w:name w:val="列出段落1"/>
    <w:basedOn w:val="1"/>
    <w:uiPriority w:val="0"/>
    <w:pPr>
      <w:spacing w:after="200" w:line="276" w:lineRule="auto"/>
      <w:ind w:firstLine="420" w:firstLineChars="200"/>
    </w:pPr>
    <w:rPr>
      <w:rFonts w:ascii="Calibri" w:hAnsi="Calibri"/>
      <w:szCs w:val="22"/>
    </w:rPr>
  </w:style>
  <w:style w:type="paragraph" w:customStyle="1" w:styleId="187">
    <w:name w:val="Revision2"/>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88">
    <w:name w:val="No Spacing1"/>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89">
    <w:name w:val="Appendix"/>
    <w:basedOn w:val="1"/>
    <w:qFormat/>
    <w:uiPriority w:val="8"/>
    <w:pPr>
      <w:spacing w:after="200" w:line="276" w:lineRule="auto"/>
      <w:jc w:val="center"/>
    </w:pPr>
    <w:rPr>
      <w:b/>
    </w:rPr>
  </w:style>
  <w:style w:type="paragraph" w:customStyle="1" w:styleId="190">
    <w:name w:val="Indent"/>
    <w:basedOn w:val="1"/>
    <w:qFormat/>
    <w:uiPriority w:val="8"/>
    <w:pPr>
      <w:spacing w:after="200" w:line="276" w:lineRule="auto"/>
      <w:ind w:left="720" w:hanging="720"/>
    </w:pPr>
  </w:style>
  <w:style w:type="paragraph" w:customStyle="1" w:styleId="191">
    <w:name w:val="Paragraph Numbering"/>
    <w:basedOn w:val="1"/>
    <w:qFormat/>
    <w:uiPriority w:val="1"/>
    <w:pPr>
      <w:tabs>
        <w:tab w:val="left" w:pos="720"/>
      </w:tabs>
      <w:spacing w:after="240" w:line="276" w:lineRule="auto"/>
    </w:pPr>
  </w:style>
  <w:style w:type="paragraph" w:customStyle="1" w:styleId="192">
    <w:name w:val="UnNumbered Heading 1"/>
    <w:basedOn w:val="1"/>
    <w:next w:val="1"/>
    <w:qFormat/>
    <w:uiPriority w:val="8"/>
    <w:pPr>
      <w:spacing w:after="200" w:line="276" w:lineRule="auto"/>
      <w:jc w:val="center"/>
    </w:pPr>
    <w:rPr>
      <w:b/>
      <w:smallCaps/>
    </w:rPr>
  </w:style>
  <w:style w:type="paragraph" w:customStyle="1" w:styleId="193">
    <w:name w:val="TOC Heading1"/>
    <w:basedOn w:val="2"/>
    <w:next w:val="1"/>
    <w:unhideWhenUsed/>
    <w:qFormat/>
    <w:uiPriority w:val="39"/>
    <w:pPr>
      <w:widowControl/>
      <w:spacing w:beforeLines="0" w:afterLines="0" w:line="259" w:lineRule="auto"/>
      <w:jc w:val="left"/>
      <w:outlineLvl w:val="9"/>
    </w:pPr>
    <w:rPr>
      <w:rFonts w:ascii="Cambria" w:hAnsi="Cambria" w:eastAsia="宋体"/>
      <w:color w:val="365F91"/>
      <w:kern w:val="0"/>
      <w:sz w:val="32"/>
      <w:szCs w:val="32"/>
    </w:rPr>
  </w:style>
  <w:style w:type="paragraph" w:customStyle="1" w:styleId="194">
    <w:name w:val="List Paragraph11"/>
    <w:basedOn w:val="1"/>
    <w:qFormat/>
    <w:uiPriority w:val="0"/>
    <w:pPr>
      <w:spacing w:after="200" w:line="276" w:lineRule="auto"/>
      <w:ind w:firstLine="420" w:firstLineChars="200"/>
    </w:pPr>
    <w:rPr>
      <w:rFonts w:cs="宋体"/>
    </w:rPr>
  </w:style>
  <w:style w:type="paragraph" w:customStyle="1" w:styleId="195">
    <w:name w:val="No Spacing11"/>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96">
    <w:name w:val="TOC Heading"/>
    <w:basedOn w:val="2"/>
    <w:next w:val="1"/>
    <w:semiHidden/>
    <w:unhideWhenUsed/>
    <w:qFormat/>
    <w:uiPriority w:val="39"/>
    <w:pPr>
      <w:widowControl/>
      <w:spacing w:beforeLines="0" w:afterLines="0" w:line="276" w:lineRule="auto"/>
      <w:jc w:val="left"/>
      <w:outlineLvl w:val="9"/>
    </w:pPr>
    <w:rPr>
      <w:rFonts w:ascii="Cambria" w:hAnsi="Cambria" w:eastAsia="宋体"/>
      <w:b/>
      <w:bCs/>
      <w:color w:val="365F91"/>
      <w:kern w:val="0"/>
      <w:sz w:val="28"/>
      <w:szCs w:val="28"/>
    </w:rPr>
  </w:style>
  <w:style w:type="character" w:customStyle="1" w:styleId="197">
    <w:name w:val="正文文本 Char1"/>
    <w:basedOn w:val="88"/>
    <w:qFormat/>
    <w:uiPriority w:val="99"/>
    <w:rPr>
      <w:rFonts w:ascii="Times New Roman" w:hAnsi="Times New Roman" w:eastAsia="宋体" w:cs="Times New Roman"/>
      <w:szCs w:val="24"/>
    </w:rPr>
  </w:style>
  <w:style w:type="character" w:customStyle="1" w:styleId="198">
    <w:name w:val="批注文字 Char2"/>
    <w:basedOn w:val="88"/>
    <w:semiHidden/>
    <w:qFormat/>
    <w:uiPriority w:val="99"/>
    <w:rPr>
      <w:rFonts w:ascii="Times New Roman" w:hAnsi="Times New Roman" w:eastAsia="宋体" w:cs="Times New Roman"/>
      <w:szCs w:val="24"/>
    </w:rPr>
  </w:style>
  <w:style w:type="character" w:customStyle="1" w:styleId="199">
    <w:name w:val="批注框文本 Char2"/>
    <w:basedOn w:val="88"/>
    <w:link w:val="56"/>
    <w:uiPriority w:val="0"/>
    <w:rPr>
      <w:rFonts w:ascii="Times New Roman" w:hAnsi="Times New Roman" w:eastAsia="宋体" w:cs="Times New Roman"/>
      <w:sz w:val="18"/>
      <w:szCs w:val="18"/>
    </w:rPr>
  </w:style>
  <w:style w:type="character" w:customStyle="1" w:styleId="200">
    <w:name w:val="脚注文本 Char1"/>
    <w:basedOn w:val="88"/>
    <w:semiHidden/>
    <w:uiPriority w:val="99"/>
    <w:rPr>
      <w:rFonts w:ascii="Times New Roman" w:hAnsi="Times New Roman" w:eastAsia="宋体" w:cs="Times New Roman"/>
      <w:sz w:val="18"/>
      <w:szCs w:val="18"/>
    </w:rPr>
  </w:style>
  <w:style w:type="character" w:customStyle="1" w:styleId="201">
    <w:name w:val="Comment Text Char1"/>
    <w:basedOn w:val="88"/>
    <w:semiHidden/>
    <w:uiPriority w:val="99"/>
    <w:rPr>
      <w:rFonts w:ascii="Times New Roman" w:hAnsi="Times New Roman" w:cs="Times New Roman"/>
      <w:sz w:val="20"/>
      <w:szCs w:val="20"/>
    </w:rPr>
  </w:style>
  <w:style w:type="character" w:customStyle="1" w:styleId="202">
    <w:name w:val="Balloon Text Char1"/>
    <w:basedOn w:val="88"/>
    <w:semiHidden/>
    <w:uiPriority w:val="99"/>
    <w:rPr>
      <w:rFonts w:ascii="Segoe UI" w:hAnsi="Segoe UI" w:cs="Segoe UI"/>
      <w:sz w:val="18"/>
      <w:szCs w:val="18"/>
    </w:rPr>
  </w:style>
  <w:style w:type="character" w:customStyle="1" w:styleId="203">
    <w:name w:val="正文文本 字符1"/>
    <w:basedOn w:val="88"/>
    <w:semiHidden/>
    <w:uiPriority w:val="99"/>
    <w:rPr>
      <w:rFonts w:ascii="Times New Roman" w:hAnsi="Times New Roman" w:eastAsia="宋体" w:cs="Times New Roman"/>
      <w:szCs w:val="24"/>
    </w:rPr>
  </w:style>
  <w:style w:type="character" w:customStyle="1" w:styleId="204">
    <w:name w:val="脚注文本 字符1"/>
    <w:basedOn w:val="88"/>
    <w:semiHidden/>
    <w:qFormat/>
    <w:uiPriority w:val="99"/>
    <w:rPr>
      <w:rFonts w:ascii="Times New Roman" w:hAnsi="Times New Roman" w:eastAsia="宋体" w:cs="Times New Roman"/>
      <w:sz w:val="18"/>
      <w:szCs w:val="18"/>
    </w:rPr>
  </w:style>
  <w:style w:type="paragraph" w:customStyle="1" w:styleId="205">
    <w:name w:val="List Paragraph12"/>
    <w:basedOn w:val="1"/>
    <w:uiPriority w:val="0"/>
    <w:pPr>
      <w:ind w:firstLine="420" w:firstLineChars="200"/>
    </w:pPr>
    <w:rPr>
      <w:szCs w:val="21"/>
    </w:rPr>
  </w:style>
  <w:style w:type="character" w:customStyle="1" w:styleId="206">
    <w:name w:val="Footer Char"/>
    <w:basedOn w:val="88"/>
    <w:uiPriority w:val="99"/>
    <w:rPr>
      <w:rFonts w:ascii="Times New Roman" w:hAnsi="Times New Roman" w:eastAsia="宋体" w:cs="Times New Roman"/>
      <w:sz w:val="18"/>
      <w:szCs w:val="18"/>
    </w:rPr>
  </w:style>
  <w:style w:type="character" w:customStyle="1" w:styleId="207">
    <w:name w:val="Header Char"/>
    <w:basedOn w:val="88"/>
    <w:uiPriority w:val="99"/>
    <w:rPr>
      <w:rFonts w:ascii="Times New Roman" w:hAnsi="Times New Roman" w:eastAsia="宋体" w:cs="Times New Roman"/>
      <w:sz w:val="18"/>
      <w:szCs w:val="18"/>
    </w:rPr>
  </w:style>
  <w:style w:type="character" w:customStyle="1" w:styleId="208">
    <w:name w:val="占位符文本1"/>
    <w:basedOn w:val="88"/>
    <w:uiPriority w:val="99"/>
    <w:rPr>
      <w:rFonts w:ascii="Times New Roman" w:hAnsi="Times New Roman" w:cs="Times New Roman"/>
      <w:color w:val="808080"/>
    </w:rPr>
  </w:style>
  <w:style w:type="character" w:customStyle="1" w:styleId="209">
    <w:name w:val="Body Text Char"/>
    <w:basedOn w:val="88"/>
    <w:uiPriority w:val="99"/>
    <w:rPr>
      <w:rFonts w:ascii="Times New Roman" w:hAnsi="Times New Roman" w:eastAsia="宋体" w:cs="Times New Roman"/>
      <w:sz w:val="24"/>
      <w:szCs w:val="24"/>
    </w:rPr>
  </w:style>
  <w:style w:type="character" w:customStyle="1" w:styleId="210">
    <w:name w:val="Date Char"/>
    <w:basedOn w:val="88"/>
    <w:uiPriority w:val="99"/>
    <w:rPr>
      <w:rFonts w:ascii="Times New Roman" w:hAnsi="Times New Roman" w:cs="Times New Roman"/>
      <w:kern w:val="2"/>
      <w:sz w:val="24"/>
      <w:szCs w:val="24"/>
    </w:rPr>
  </w:style>
  <w:style w:type="character" w:customStyle="1" w:styleId="211">
    <w:name w:val="Balloon Text Char"/>
    <w:basedOn w:val="88"/>
    <w:uiPriority w:val="99"/>
    <w:rPr>
      <w:rFonts w:ascii="Times New Roman" w:hAnsi="Times New Roman" w:eastAsia="宋体" w:cs="Times New Roman"/>
      <w:sz w:val="18"/>
      <w:szCs w:val="18"/>
    </w:rPr>
  </w:style>
  <w:style w:type="paragraph" w:customStyle="1" w:styleId="212">
    <w:name w:val="首页标题内容"/>
    <w:basedOn w:val="1"/>
    <w:uiPriority w:val="99"/>
    <w:pPr>
      <w:adjustRightInd w:val="0"/>
      <w:snapToGrid w:val="0"/>
      <w:spacing w:beforeLines="50" w:afterLines="50" w:line="440" w:lineRule="exact"/>
      <w:ind w:firstLine="200" w:firstLineChars="200"/>
    </w:pPr>
    <w:rPr>
      <w:rFonts w:eastAsia="仿宋_GB2312"/>
      <w:sz w:val="24"/>
    </w:rPr>
  </w:style>
  <w:style w:type="paragraph" w:customStyle="1" w:styleId="213">
    <w:name w:val="p19"/>
    <w:basedOn w:val="1"/>
    <w:uiPriority w:val="99"/>
    <w:pPr>
      <w:widowControl/>
      <w:pBdr>
        <w:top w:val="double" w:color="000000" w:sz="2" w:space="10"/>
        <w:left w:val="double" w:color="000000" w:sz="2" w:space="10"/>
        <w:bottom w:val="double" w:color="000000" w:sz="2" w:space="10"/>
        <w:right w:val="double" w:color="000000" w:sz="2" w:space="10"/>
      </w:pBdr>
      <w:spacing w:before="156" w:after="156"/>
      <w:jc w:val="center"/>
    </w:pPr>
    <w:rPr>
      <w:rFonts w:ascii="黑体" w:hAnsi="Arial Unicode MS" w:eastAsia="黑体" w:cs="黑体"/>
      <w:kern w:val="0"/>
      <w:sz w:val="28"/>
      <w:szCs w:val="28"/>
    </w:rPr>
  </w:style>
  <w:style w:type="character" w:customStyle="1" w:styleId="214">
    <w:name w:val="HTML 地址 Char"/>
    <w:basedOn w:val="88"/>
    <w:link w:val="43"/>
    <w:semiHidden/>
    <w:uiPriority w:val="99"/>
    <w:rPr>
      <w:rFonts w:ascii="Times New Roman" w:hAnsi="Times New Roman" w:eastAsia="宋体" w:cs="Times New Roman"/>
      <w:i/>
      <w:iCs/>
      <w:szCs w:val="21"/>
    </w:rPr>
  </w:style>
  <w:style w:type="character" w:customStyle="1" w:styleId="215">
    <w:name w:val="称呼 Char"/>
    <w:basedOn w:val="88"/>
    <w:link w:val="33"/>
    <w:semiHidden/>
    <w:uiPriority w:val="99"/>
    <w:rPr>
      <w:rFonts w:ascii="Times New Roman" w:hAnsi="Times New Roman" w:eastAsia="宋体" w:cs="Times New Roman"/>
      <w:szCs w:val="21"/>
    </w:rPr>
  </w:style>
  <w:style w:type="character" w:customStyle="1" w:styleId="216">
    <w:name w:val="纯文本 Char"/>
    <w:basedOn w:val="88"/>
    <w:link w:val="47"/>
    <w:semiHidden/>
    <w:uiPriority w:val="99"/>
    <w:rPr>
      <w:rFonts w:ascii="宋体" w:hAnsi="Courier New" w:eastAsia="宋体" w:cs="Courier New"/>
      <w:szCs w:val="21"/>
    </w:rPr>
  </w:style>
  <w:style w:type="character" w:customStyle="1" w:styleId="217">
    <w:name w:val="电子邮件签名 Char"/>
    <w:basedOn w:val="88"/>
    <w:link w:val="23"/>
    <w:semiHidden/>
    <w:uiPriority w:val="99"/>
    <w:rPr>
      <w:rFonts w:ascii="Times New Roman" w:hAnsi="Times New Roman" w:eastAsia="宋体" w:cs="Times New Roman"/>
      <w:szCs w:val="21"/>
    </w:rPr>
  </w:style>
  <w:style w:type="character" w:customStyle="1" w:styleId="218">
    <w:name w:val="副标题 Char"/>
    <w:basedOn w:val="88"/>
    <w:link w:val="67"/>
    <w:uiPriority w:val="11"/>
    <w:rPr>
      <w:rFonts w:eastAsia="宋体" w:asciiTheme="majorHAnsi" w:hAnsiTheme="majorHAnsi" w:cstheme="majorBidi"/>
      <w:b/>
      <w:bCs/>
      <w:kern w:val="28"/>
      <w:sz w:val="32"/>
      <w:szCs w:val="32"/>
    </w:rPr>
  </w:style>
  <w:style w:type="character" w:customStyle="1" w:styleId="219">
    <w:name w:val="宏文本 Char"/>
    <w:basedOn w:val="88"/>
    <w:link w:val="19"/>
    <w:semiHidden/>
    <w:uiPriority w:val="99"/>
    <w:rPr>
      <w:rFonts w:ascii="Courier New" w:hAnsi="Courier New" w:eastAsia="宋体" w:cs="Courier New"/>
      <w:sz w:val="24"/>
      <w:szCs w:val="24"/>
    </w:rPr>
  </w:style>
  <w:style w:type="character" w:customStyle="1" w:styleId="220">
    <w:name w:val="结束语 Char"/>
    <w:basedOn w:val="88"/>
    <w:link w:val="35"/>
    <w:semiHidden/>
    <w:uiPriority w:val="99"/>
    <w:rPr>
      <w:rFonts w:ascii="Times New Roman" w:hAnsi="Times New Roman" w:eastAsia="宋体" w:cs="Times New Roman"/>
      <w:szCs w:val="21"/>
    </w:rPr>
  </w:style>
  <w:style w:type="paragraph" w:styleId="221">
    <w:name w:val="Intense Quote"/>
    <w:basedOn w:val="1"/>
    <w:next w:val="1"/>
    <w:link w:val="222"/>
    <w:qFormat/>
    <w:uiPriority w:val="30"/>
    <w:pPr>
      <w:pBdr>
        <w:bottom w:val="single" w:color="4F81BD" w:themeColor="accent1" w:sz="4" w:space="4"/>
      </w:pBdr>
      <w:spacing w:before="200" w:after="280"/>
      <w:ind w:left="936" w:right="936"/>
    </w:pPr>
    <w:rPr>
      <w:b/>
      <w:bCs/>
      <w:i/>
      <w:iCs/>
      <w:color w:val="4F81BD" w:themeColor="accent1"/>
      <w:szCs w:val="21"/>
    </w:rPr>
  </w:style>
  <w:style w:type="character" w:customStyle="1" w:styleId="222">
    <w:name w:val="明显引用 Char"/>
    <w:basedOn w:val="88"/>
    <w:link w:val="221"/>
    <w:uiPriority w:val="30"/>
    <w:rPr>
      <w:rFonts w:ascii="Times New Roman" w:hAnsi="Times New Roman" w:eastAsia="宋体" w:cs="Times New Roman"/>
      <w:b/>
      <w:bCs/>
      <w:i/>
      <w:iCs/>
      <w:color w:val="4F81BD" w:themeColor="accent1"/>
      <w:szCs w:val="21"/>
    </w:rPr>
  </w:style>
  <w:style w:type="character" w:customStyle="1" w:styleId="223">
    <w:name w:val="签名 Char"/>
    <w:basedOn w:val="88"/>
    <w:link w:val="61"/>
    <w:semiHidden/>
    <w:uiPriority w:val="99"/>
    <w:rPr>
      <w:rFonts w:ascii="Times New Roman" w:hAnsi="Times New Roman" w:eastAsia="宋体" w:cs="Times New Roman"/>
      <w:szCs w:val="21"/>
    </w:rPr>
  </w:style>
  <w:style w:type="paragraph" w:customStyle="1" w:styleId="224">
    <w:name w:val="Bibliography"/>
    <w:basedOn w:val="1"/>
    <w:next w:val="1"/>
    <w:semiHidden/>
    <w:unhideWhenUsed/>
    <w:uiPriority w:val="37"/>
    <w:rPr>
      <w:szCs w:val="21"/>
    </w:rPr>
  </w:style>
  <w:style w:type="character" w:customStyle="1" w:styleId="225">
    <w:name w:val="尾注文本 Char"/>
    <w:basedOn w:val="88"/>
    <w:link w:val="54"/>
    <w:semiHidden/>
    <w:uiPriority w:val="99"/>
    <w:rPr>
      <w:rFonts w:ascii="Times New Roman" w:hAnsi="Times New Roman" w:eastAsia="宋体" w:cs="Times New Roman"/>
      <w:szCs w:val="21"/>
    </w:rPr>
  </w:style>
  <w:style w:type="character" w:customStyle="1" w:styleId="226">
    <w:name w:val="文档结构图 Char"/>
    <w:basedOn w:val="88"/>
    <w:link w:val="30"/>
    <w:semiHidden/>
    <w:uiPriority w:val="99"/>
    <w:rPr>
      <w:rFonts w:ascii="宋体" w:hAnsi="Times New Roman" w:eastAsia="宋体" w:cs="Times New Roman"/>
      <w:sz w:val="18"/>
      <w:szCs w:val="18"/>
    </w:rPr>
  </w:style>
  <w:style w:type="character" w:customStyle="1" w:styleId="227">
    <w:name w:val="信息标题 Char"/>
    <w:basedOn w:val="88"/>
    <w:link w:val="82"/>
    <w:semiHidden/>
    <w:uiPriority w:val="99"/>
    <w:rPr>
      <w:rFonts w:asciiTheme="majorHAnsi" w:hAnsiTheme="majorHAnsi" w:eastAsiaTheme="majorEastAsia" w:cstheme="majorBidi"/>
      <w:sz w:val="24"/>
      <w:szCs w:val="24"/>
      <w:shd w:val="pct20" w:color="auto" w:fill="auto"/>
    </w:rPr>
  </w:style>
  <w:style w:type="paragraph" w:styleId="228">
    <w:name w:val="Quote"/>
    <w:basedOn w:val="1"/>
    <w:next w:val="1"/>
    <w:link w:val="229"/>
    <w:qFormat/>
    <w:uiPriority w:val="29"/>
    <w:rPr>
      <w:i/>
      <w:iCs/>
      <w:color w:val="000000" w:themeColor="text1"/>
      <w:szCs w:val="21"/>
    </w:rPr>
  </w:style>
  <w:style w:type="character" w:customStyle="1" w:styleId="229">
    <w:name w:val="引用 Char"/>
    <w:basedOn w:val="88"/>
    <w:link w:val="228"/>
    <w:uiPriority w:val="29"/>
    <w:rPr>
      <w:rFonts w:ascii="Times New Roman" w:hAnsi="Times New Roman" w:eastAsia="宋体" w:cs="Times New Roman"/>
      <w:i/>
      <w:iCs/>
      <w:color w:val="000000" w:themeColor="text1"/>
      <w:szCs w:val="21"/>
    </w:rPr>
  </w:style>
  <w:style w:type="character" w:customStyle="1" w:styleId="230">
    <w:name w:val="正文首行缩进 Char"/>
    <w:basedOn w:val="136"/>
    <w:link w:val="15"/>
    <w:semiHidden/>
    <w:uiPriority w:val="99"/>
    <w:rPr>
      <w:rFonts w:ascii="Times New Roman" w:eastAsia="宋体"/>
      <w:szCs w:val="21"/>
    </w:rPr>
  </w:style>
  <w:style w:type="character" w:customStyle="1" w:styleId="231">
    <w:name w:val="正文首行缩进 2 Char"/>
    <w:basedOn w:val="139"/>
    <w:link w:val="59"/>
    <w:semiHidden/>
    <w:uiPriority w:val="99"/>
    <w:rPr>
      <w:rFonts w:ascii="Times New Roman" w:eastAsia="宋体"/>
      <w:szCs w:val="21"/>
    </w:rPr>
  </w:style>
  <w:style w:type="character" w:customStyle="1" w:styleId="232">
    <w:name w:val="注释标题 Char"/>
    <w:basedOn w:val="88"/>
    <w:link w:val="20"/>
    <w:semiHidden/>
    <w:uiPriority w:val="99"/>
    <w:rPr>
      <w:rFonts w:ascii="Times New Roman" w:hAnsi="Times New Roman" w:eastAsia="宋体" w:cs="Times New Roman"/>
      <w:szCs w:val="21"/>
    </w:rPr>
  </w:style>
  <w:style w:type="character" w:customStyle="1" w:styleId="233">
    <w:name w:val="short_text"/>
    <w:basedOn w:val="8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4037;&#20316;&#26723;&#26696;\&#32763;&#35793;%20&#36135;&#24065;&#25919;&#31574;&#25253;&#21578;\2018&#24180;&#36135;&#25919;&#25253;&#21578;\2018&#24180;&#31532;&#19968;&#23395;&#24230;&#20013;&#22269;&#36135;&#24065;&#25919;&#31574;&#25191;&#34892;&#25253;&#21578;180511&#65288;&#23450;&#31295;&#65289;\&#22270;\&#2227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9469368065609"/>
          <c:y val="0.038784067085954"/>
          <c:w val="0.904486251808972"/>
          <c:h val="0.738993710691828"/>
        </c:manualLayout>
      </c:layout>
      <c:lineChart>
        <c:grouping val="standard"/>
        <c:varyColors val="0"/>
        <c:ser>
          <c:idx val="0"/>
          <c:order val="0"/>
          <c:tx>
            <c:strRef>
              <c:f>Sheet1!$A$3</c:f>
              <c:strCache>
                <c:ptCount val="1"/>
                <c:pt idx="0">
                  <c:v>2016-12-31</c:v>
                </c:pt>
              </c:strCache>
            </c:strRef>
          </c:tx>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Sheet1!$B$3:$O$3</c:f>
            </c:numRef>
          </c:val>
          <c:smooth val="0"/>
        </c:ser>
        <c:ser>
          <c:idx val="1"/>
          <c:order val="1"/>
          <c:tx>
            <c:strRef>
              <c:f>Sheet1!$A$4</c:f>
              <c:strCache>
                <c:ptCount val="1"/>
                <c:pt idx="0">
                  <c:v>2017-03-31</c:v>
                </c:pt>
              </c:strCache>
            </c:strRef>
          </c:tx>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Sheet1!$B$4:$O$4</c:f>
            </c:numRef>
          </c:val>
          <c:smooth val="0"/>
        </c:ser>
        <c:ser>
          <c:idx val="2"/>
          <c:order val="2"/>
          <c:tx>
            <c:strRef>
              <c:f>Sheet1!$A$5</c:f>
              <c:strCache>
                <c:ptCount val="1"/>
                <c:pt idx="0">
                  <c:v>2017-06-30</c:v>
                </c:pt>
              </c:strCache>
            </c:strRef>
          </c:tx>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Sheet1!$B$5:$O$5</c:f>
            </c:numRef>
          </c:val>
          <c:smooth val="0"/>
        </c:ser>
        <c:ser>
          <c:idx val="3"/>
          <c:order val="3"/>
          <c:tx>
            <c:strRef>
              <c:f>Sheet1!$A$6</c:f>
              <c:strCache>
                <c:ptCount val="1"/>
                <c:pt idx="0">
                  <c:v>2017-09-30</c:v>
                </c:pt>
              </c:strCache>
            </c:strRef>
          </c:tx>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Sheet1!$B$6:$O$6</c:f>
            </c:numRef>
          </c:val>
          <c:smooth val="0"/>
        </c:ser>
        <c:ser>
          <c:idx val="4"/>
          <c:order val="4"/>
          <c:tx>
            <c:strRef>
              <c:f>Sheet1!$A$7</c:f>
              <c:strCache>
                <c:ptCount val="1"/>
                <c:pt idx="0">
                  <c:v>2017-12-31</c:v>
                </c:pt>
              </c:strCache>
            </c:strRef>
          </c:tx>
          <c:marker>
            <c:symbol val="none"/>
          </c:marker>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Sheet1!$B$7:$O$7</c:f>
              <c:numCache>
                <c:formatCode>###,###,###,###,##0.0000_ </c:formatCode>
                <c:ptCount val="14"/>
                <c:pt idx="0">
                  <c:v>3.9067</c:v>
                </c:pt>
                <c:pt idx="1">
                  <c:v>3.7909</c:v>
                </c:pt>
                <c:pt idx="2">
                  <c:v>3.7857</c:v>
                </c:pt>
                <c:pt idx="3">
                  <c:v>3.7808</c:v>
                </c:pt>
                <c:pt idx="4">
                  <c:v>3.8047</c:v>
                </c:pt>
                <c:pt idx="5">
                  <c:v>3.8445</c:v>
                </c:pt>
                <c:pt idx="6">
                  <c:v>3.8801</c:v>
                </c:pt>
                <c:pt idx="7">
                  <c:v>3.8998</c:v>
                </c:pt>
                <c:pt idx="8">
                  <c:v>3.8948</c:v>
                </c:pt>
                <c:pt idx="9">
                  <c:v>3.8857</c:v>
                </c:pt>
                <c:pt idx="10">
                  <c:v>3.8807</c:v>
                </c:pt>
                <c:pt idx="11">
                  <c:v>4.1771</c:v>
                </c:pt>
                <c:pt idx="12">
                  <c:v>4.2159</c:v>
                </c:pt>
                <c:pt idx="13">
                  <c:v>4.36709999999999</c:v>
                </c:pt>
              </c:numCache>
            </c:numRef>
          </c:val>
          <c:smooth val="0"/>
        </c:ser>
        <c:ser>
          <c:idx val="5"/>
          <c:order val="5"/>
          <c:tx>
            <c:strRef>
              <c:f>Sheet1!$A$8</c:f>
              <c:strCache>
                <c:ptCount val="1"/>
                <c:pt idx="0">
                  <c:v>2018-03-30</c:v>
                </c:pt>
              </c:strCache>
            </c:strRef>
          </c:tx>
          <c:marker>
            <c:symbol val="none"/>
          </c:marker>
          <c:dLbls>
            <c:delete val="1"/>
          </c:dLbls>
          <c:cat>
            <c:numRef>
              <c:f>Sheet1!$B$2:$O$2</c:f>
              <c:numCache>
                <c:formatCode>#,##0.0_ </c:formatCode>
                <c:ptCount val="14"/>
                <c:pt idx="0" c:formatCode="#,##0.0_ ">
                  <c:v>0.5</c:v>
                </c:pt>
                <c:pt idx="1" c:formatCode="#,##0_ ">
                  <c:v>1</c:v>
                </c:pt>
                <c:pt idx="2" c:formatCode="#,##0_ ">
                  <c:v>2</c:v>
                </c:pt>
                <c:pt idx="3" c:formatCode="#,##0_ ">
                  <c:v>3</c:v>
                </c:pt>
                <c:pt idx="4" c:formatCode="#,##0_ ">
                  <c:v>4</c:v>
                </c:pt>
                <c:pt idx="5" c:formatCode="#,##0_ ">
                  <c:v>5</c:v>
                </c:pt>
                <c:pt idx="6" c:formatCode="#,##0_ ">
                  <c:v>6</c:v>
                </c:pt>
                <c:pt idx="7" c:formatCode="#,##0_ ">
                  <c:v>7</c:v>
                </c:pt>
                <c:pt idx="8" c:formatCode="#,##0_ ">
                  <c:v>8</c:v>
                </c:pt>
                <c:pt idx="9" c:formatCode="#,##0_ ">
                  <c:v>9</c:v>
                </c:pt>
                <c:pt idx="10" c:formatCode="#,##0_ ">
                  <c:v>10</c:v>
                </c:pt>
                <c:pt idx="11" c:formatCode="#,##0_ ">
                  <c:v>15</c:v>
                </c:pt>
                <c:pt idx="12" c:formatCode="#,##0_ ">
                  <c:v>20</c:v>
                </c:pt>
                <c:pt idx="13" c:formatCode="#,##0_ ">
                  <c:v>30</c:v>
                </c:pt>
              </c:numCache>
            </c:numRef>
          </c:cat>
          <c:val>
            <c:numRef>
              <c:f>Sheet1!$B$8:$O$8</c:f>
              <c:numCache>
                <c:formatCode>###,###,###,###,##0.0000_ </c:formatCode>
                <c:ptCount val="14"/>
                <c:pt idx="0">
                  <c:v>3.167</c:v>
                </c:pt>
                <c:pt idx="1">
                  <c:v>3.3221</c:v>
                </c:pt>
                <c:pt idx="2">
                  <c:v>3.4217</c:v>
                </c:pt>
                <c:pt idx="3">
                  <c:v>3.5697</c:v>
                </c:pt>
                <c:pt idx="4">
                  <c:v>3.6239</c:v>
                </c:pt>
                <c:pt idx="5">
                  <c:v>3.6609</c:v>
                </c:pt>
                <c:pt idx="6">
                  <c:v>3.72</c:v>
                </c:pt>
                <c:pt idx="7">
                  <c:v>3.7402</c:v>
                </c:pt>
                <c:pt idx="8">
                  <c:v>3.7402</c:v>
                </c:pt>
                <c:pt idx="9">
                  <c:v>3.74010000000001</c:v>
                </c:pt>
                <c:pt idx="10">
                  <c:v>3.7407</c:v>
                </c:pt>
                <c:pt idx="11">
                  <c:v>4.014</c:v>
                </c:pt>
                <c:pt idx="12">
                  <c:v>4.053</c:v>
                </c:pt>
                <c:pt idx="13">
                  <c:v>4.1749</c:v>
                </c:pt>
              </c:numCache>
            </c:numRef>
          </c:val>
          <c:smooth val="0"/>
        </c:ser>
        <c:dLbls>
          <c:showLegendKey val="0"/>
          <c:showVal val="0"/>
          <c:showCatName val="0"/>
          <c:showSerName val="0"/>
          <c:showPercent val="0"/>
          <c:showBubbleSize val="0"/>
        </c:dLbls>
        <c:marker val="1"/>
        <c:smooth val="0"/>
        <c:axId val="262248704"/>
        <c:axId val="548577280"/>
      </c:lineChart>
      <c:catAx>
        <c:axId val="262248704"/>
        <c:scaling>
          <c:orientation val="minMax"/>
        </c:scaling>
        <c:delete val="0"/>
        <c:axPos val="b"/>
        <c:numFmt formatCode="#,##0.0_ " sourceLinked="1"/>
        <c:majorTickMark val="none"/>
        <c:minorTickMark val="none"/>
        <c:tickLblPos val="nextTo"/>
        <c:spPr>
          <a:ln w="3175" cap="flat" cmpd="sng" algn="ctr">
            <a:solidFill>
              <a:srgbClr val="808080"/>
            </a:solidFill>
            <a:prstDash val="solid"/>
            <a:round/>
          </a:ln>
        </c:spPr>
        <c:txPr>
          <a:bodyPr rot="0" spcFirstLastPara="0" vertOverflow="ellipsis" vert="horz" wrap="square" anchor="ctr" anchorCtr="1"/>
          <a:lstStyle/>
          <a:p>
            <a:pPr>
              <a:defRPr lang="en-US"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48577280"/>
        <c:crosses val="autoZero"/>
        <c:auto val="1"/>
        <c:lblAlgn val="ctr"/>
        <c:lblOffset val="100"/>
        <c:tickLblSkip val="1"/>
        <c:noMultiLvlLbl val="0"/>
      </c:catAx>
      <c:valAx>
        <c:axId val="548577280"/>
        <c:scaling>
          <c:orientation val="minMax"/>
          <c:min val="2.5"/>
        </c:scaling>
        <c:delete val="0"/>
        <c:axPos val="l"/>
        <c:majorGridlines>
          <c:spPr>
            <a:ln w="3175" cap="flat" cmpd="sng" algn="ctr">
              <a:solidFill>
                <a:srgbClr val="808080"/>
              </a:solidFill>
              <a:prstDash val="lgDash"/>
              <a:round/>
            </a:ln>
          </c:spPr>
        </c:majorGridlines>
        <c:numFmt formatCode="#,##0.0_);[Red]\(#,##0.0\)" sourceLinked="0"/>
        <c:majorTickMark val="none"/>
        <c:minorTickMark val="none"/>
        <c:tickLblPos val="nextTo"/>
        <c:spPr>
          <a:ln w="3175" cap="flat" cmpd="sng" algn="ctr">
            <a:solidFill>
              <a:srgbClr val="808080"/>
            </a:solidFill>
            <a:prstDash val="solid"/>
            <a:round/>
          </a:ln>
        </c:spPr>
        <c:txPr>
          <a:bodyPr rot="0" spcFirstLastPara="0" vertOverflow="ellipsis" vert="horz" wrap="square" anchor="ctr" anchorCtr="1"/>
          <a:lstStyle/>
          <a:p>
            <a:pPr>
              <a:defRPr lang="en-US"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2248704"/>
        <c:crosses val="autoZero"/>
        <c:crossBetween val="between"/>
      </c:valAx>
      <c:spPr>
        <a:noFill/>
        <a:ln w="25400">
          <a:noFill/>
        </a:ln>
      </c:spPr>
    </c:plotArea>
    <c:legend>
      <c:legendPos val="r"/>
      <c:layout>
        <c:manualLayout>
          <c:xMode val="edge"/>
          <c:yMode val="edge"/>
          <c:x val="0"/>
          <c:y val="0.873196322157844"/>
          <c:w val="0.974433188615533"/>
          <c:h val="0.116729559748428"/>
        </c:manualLayout>
      </c:layout>
      <c:overlay val="0"/>
      <c:spPr>
        <a:noFill/>
        <a:ln w="25400">
          <a:noFill/>
        </a:ln>
      </c:spPr>
      <c:txPr>
        <a:bodyPr rot="0" spcFirstLastPara="0" vertOverflow="ellipsis" vert="horz" wrap="square" anchor="ctr" anchorCtr="1"/>
        <a:lstStyle/>
        <a:p>
          <a:pPr>
            <a:defRPr lang="en-US"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47316442388181"/>
          <c:y val="0.096774578397645"/>
          <c:w val="0.879394402287296"/>
          <c:h val="0.781559464877014"/>
        </c:manualLayout>
      </c:layout>
      <c:barChart>
        <c:barDir val="col"/>
        <c:grouping val="clustered"/>
        <c:varyColors val="0"/>
        <c:ser>
          <c:idx val="0"/>
          <c:order val="0"/>
          <c:tx>
            <c:strRef>
              <c:f>trade balance (left)</c:f>
              <c:strCache>
                <c:ptCount val="1"/>
                <c:pt idx="0">
                  <c:v>trade balance (left)</c:v>
                </c:pt>
              </c:strCache>
            </c:strRef>
          </c:tx>
          <c:spPr>
            <a:ln w="19050">
              <a:noFill/>
            </a:ln>
          </c:spPr>
          <c:invertIfNegative val="0"/>
          <c:dLbls>
            <c:delete val="1"/>
          </c:dLbls>
          <c:cat>
            <c:strRef>
              <c:f>进出口图!$A$35:$A$75</c:f>
              <c:strCache>
                <c:ptCount val="41"/>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pt idx="24">
                  <c:v>2014Q1</c:v>
                </c:pt>
                <c:pt idx="25">
                  <c:v>2014Q2</c:v>
                </c:pt>
                <c:pt idx="26">
                  <c:v>2014Q3</c:v>
                </c:pt>
                <c:pt idx="27">
                  <c:v>2014Q4</c:v>
                </c:pt>
                <c:pt idx="28">
                  <c:v>2015Q1</c:v>
                </c:pt>
                <c:pt idx="29">
                  <c:v>2015Q2</c:v>
                </c:pt>
                <c:pt idx="30">
                  <c:v>2015Q3</c:v>
                </c:pt>
                <c:pt idx="31">
                  <c:v>2015Q4</c:v>
                </c:pt>
                <c:pt idx="32">
                  <c:v>2016Q1</c:v>
                </c:pt>
                <c:pt idx="33">
                  <c:v>2016Q2</c:v>
                </c:pt>
                <c:pt idx="34">
                  <c:v>2016Q3</c:v>
                </c:pt>
                <c:pt idx="35">
                  <c:v>2016Q4</c:v>
                </c:pt>
                <c:pt idx="36">
                  <c:v>2017Q1</c:v>
                </c:pt>
                <c:pt idx="37">
                  <c:v>2017Q2</c:v>
                </c:pt>
                <c:pt idx="38">
                  <c:v>2017Q3</c:v>
                </c:pt>
                <c:pt idx="39">
                  <c:v>2017Q4</c:v>
                </c:pt>
                <c:pt idx="40">
                  <c:v>2018Q1</c:v>
                </c:pt>
              </c:strCache>
            </c:strRef>
          </c:cat>
          <c:val>
            <c:numRef>
              <c:f>进出口图!$E$35:$E$75</c:f>
              <c:numCache>
                <c:formatCode>0.00_ </c:formatCode>
                <c:ptCount val="41"/>
                <c:pt idx="0">
                  <c:v>408.23</c:v>
                </c:pt>
                <c:pt idx="1">
                  <c:v>574.029999999998</c:v>
                </c:pt>
                <c:pt idx="2">
                  <c:v>847.8</c:v>
                </c:pt>
                <c:pt idx="3">
                  <c:v>1151.21</c:v>
                </c:pt>
                <c:pt idx="4">
                  <c:v>622.88</c:v>
                </c:pt>
                <c:pt idx="5">
                  <c:v>339.21</c:v>
                </c:pt>
                <c:pt idx="6">
                  <c:v>383.26</c:v>
                </c:pt>
                <c:pt idx="7">
                  <c:v>611.529999999998</c:v>
                </c:pt>
                <c:pt idx="8">
                  <c:v>138.89</c:v>
                </c:pt>
                <c:pt idx="9">
                  <c:v>410.45</c:v>
                </c:pt>
                <c:pt idx="10">
                  <c:v>648.63</c:v>
                </c:pt>
                <c:pt idx="11">
                  <c:v>617.08</c:v>
                </c:pt>
                <c:pt idx="12">
                  <c:v>-22.8099999999999</c:v>
                </c:pt>
                <c:pt idx="13">
                  <c:v>463.440000000001</c:v>
                </c:pt>
                <c:pt idx="14">
                  <c:v>625.769999999999</c:v>
                </c:pt>
                <c:pt idx="15">
                  <c:v>482.58</c:v>
                </c:pt>
                <c:pt idx="16">
                  <c:v>1.94000000000051</c:v>
                </c:pt>
                <c:pt idx="17">
                  <c:v>683.899999999998</c:v>
                </c:pt>
                <c:pt idx="18">
                  <c:v>791.839999999998</c:v>
                </c:pt>
                <c:pt idx="19">
                  <c:v>825.409999999998</c:v>
                </c:pt>
                <c:pt idx="20">
                  <c:v>420.655053780001</c:v>
                </c:pt>
                <c:pt idx="21">
                  <c:v>662.87575134</c:v>
                </c:pt>
                <c:pt idx="22">
                  <c:v>606.446062519998</c:v>
                </c:pt>
                <c:pt idx="23">
                  <c:v>900.168437750003</c:v>
                </c:pt>
                <c:pt idx="24">
                  <c:v>174.383362080001</c:v>
                </c:pt>
                <c:pt idx="25">
                  <c:v>867.972199879998</c:v>
                </c:pt>
                <c:pt idx="26">
                  <c:v>1284.42424351</c:v>
                </c:pt>
                <c:pt idx="27">
                  <c:v>1503.80067363</c:v>
                </c:pt>
                <c:pt idx="28">
                  <c:v>1222.9291735</c:v>
                </c:pt>
                <c:pt idx="29">
                  <c:v>1355.54253731</c:v>
                </c:pt>
                <c:pt idx="30">
                  <c:v>1611.632516</c:v>
                </c:pt>
                <c:pt idx="31">
                  <c:v>1748.93303924</c:v>
                </c:pt>
                <c:pt idx="32">
                  <c:v>1099.11453328</c:v>
                </c:pt>
                <c:pt idx="33">
                  <c:v>1300.44338539</c:v>
                </c:pt>
                <c:pt idx="34">
                  <c:v>1388.73895517</c:v>
                </c:pt>
                <c:pt idx="35">
                  <c:v>1308.75286427</c:v>
                </c:pt>
                <c:pt idx="36">
                  <c:v>603.9</c:v>
                </c:pt>
                <c:pt idx="37" c:formatCode="0.0_ ">
                  <c:v>1174.4</c:v>
                </c:pt>
                <c:pt idx="38" c:formatCode="0.0_ ">
                  <c:v>1137.8</c:v>
                </c:pt>
                <c:pt idx="39" c:formatCode="0.0_ ">
                  <c:v>1308.851</c:v>
                </c:pt>
                <c:pt idx="40" c:formatCode="0.0_ ">
                  <c:v>483.869000000001</c:v>
                </c:pt>
              </c:numCache>
            </c:numRef>
          </c:val>
        </c:ser>
        <c:dLbls>
          <c:showLegendKey val="0"/>
          <c:showVal val="0"/>
          <c:showCatName val="0"/>
          <c:showSerName val="0"/>
          <c:showPercent val="0"/>
          <c:showBubbleSize val="0"/>
        </c:dLbls>
        <c:gapWidth val="150"/>
        <c:axId val="210639872"/>
        <c:axId val="210658048"/>
      </c:barChart>
      <c:lineChart>
        <c:grouping val="standard"/>
        <c:varyColors val="0"/>
        <c:ser>
          <c:idx val="1"/>
          <c:order val="1"/>
          <c:tx>
            <c:strRef>
              <c:f>quarterly export growth, yoy (right)</c:f>
              <c:strCache>
                <c:ptCount val="1"/>
                <c:pt idx="0">
                  <c:v>quarterly export growth, yoy (right)</c:v>
                </c:pt>
              </c:strCache>
            </c:strRef>
          </c:tx>
          <c:spPr>
            <a:ln w="19050" cap="rnd" cmpd="sng" algn="ctr">
              <a:solidFill>
                <a:schemeClr val="accent2">
                  <a:shade val="95000"/>
                  <a:satMod val="105000"/>
                </a:schemeClr>
              </a:solidFill>
              <a:prstDash val="solid"/>
              <a:round/>
            </a:ln>
          </c:spPr>
          <c:marker>
            <c:symbol val="none"/>
          </c:marker>
          <c:dLbls>
            <c:delete val="1"/>
          </c:dLbls>
          <c:cat>
            <c:strRef>
              <c:f>进出口图!$A$35:$A$75</c:f>
              <c:strCache>
                <c:ptCount val="41"/>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pt idx="24">
                  <c:v>2014Q1</c:v>
                </c:pt>
                <c:pt idx="25">
                  <c:v>2014Q2</c:v>
                </c:pt>
                <c:pt idx="26">
                  <c:v>2014Q3</c:v>
                </c:pt>
                <c:pt idx="27">
                  <c:v>2014Q4</c:v>
                </c:pt>
                <c:pt idx="28">
                  <c:v>2015Q1</c:v>
                </c:pt>
                <c:pt idx="29">
                  <c:v>2015Q2</c:v>
                </c:pt>
                <c:pt idx="30">
                  <c:v>2015Q3</c:v>
                </c:pt>
                <c:pt idx="31">
                  <c:v>2015Q4</c:v>
                </c:pt>
                <c:pt idx="32">
                  <c:v>2016Q1</c:v>
                </c:pt>
                <c:pt idx="33">
                  <c:v>2016Q2</c:v>
                </c:pt>
                <c:pt idx="34">
                  <c:v>2016Q3</c:v>
                </c:pt>
                <c:pt idx="35">
                  <c:v>2016Q4</c:v>
                </c:pt>
                <c:pt idx="36">
                  <c:v>2017Q1</c:v>
                </c:pt>
                <c:pt idx="37">
                  <c:v>2017Q2</c:v>
                </c:pt>
                <c:pt idx="38">
                  <c:v>2017Q3</c:v>
                </c:pt>
                <c:pt idx="39">
                  <c:v>2017Q4</c:v>
                </c:pt>
                <c:pt idx="40">
                  <c:v>2018Q1</c:v>
                </c:pt>
              </c:strCache>
            </c:strRef>
          </c:cat>
          <c:val>
            <c:numRef>
              <c:f>进出口图!$G$35:$G$75</c:f>
              <c:numCache>
                <c:formatCode>0.0</c:formatCode>
                <c:ptCount val="41"/>
                <c:pt idx="0">
                  <c:v>21.3206298376261</c:v>
                </c:pt>
                <c:pt idx="1">
                  <c:v>22.3967833144608</c:v>
                </c:pt>
                <c:pt idx="2">
                  <c:v>23.3343888059589</c:v>
                </c:pt>
                <c:pt idx="3">
                  <c:v>4.36292674886461</c:v>
                </c:pt>
                <c:pt idx="4">
                  <c:v>-19.7785146105222</c:v>
                </c:pt>
                <c:pt idx="5">
                  <c:v>-23.5286296755893</c:v>
                </c:pt>
                <c:pt idx="6">
                  <c:v>-20.5543995716203</c:v>
                </c:pt>
                <c:pt idx="7">
                  <c:v>0.132272147828942</c:v>
                </c:pt>
                <c:pt idx="8">
                  <c:v>28.6850999714948</c:v>
                </c:pt>
                <c:pt idx="9">
                  <c:v>40.8472181976239</c:v>
                </c:pt>
                <c:pt idx="10">
                  <c:v>32.2154136877191</c:v>
                </c:pt>
                <c:pt idx="11">
                  <c:v>24.8579741494646</c:v>
                </c:pt>
                <c:pt idx="12">
                  <c:v>26.4230472260547</c:v>
                </c:pt>
                <c:pt idx="13">
                  <c:v>22.0359469308295</c:v>
                </c:pt>
                <c:pt idx="14">
                  <c:v>20.5722625834218</c:v>
                </c:pt>
                <c:pt idx="15">
                  <c:v>14.2261283067559</c:v>
                </c:pt>
                <c:pt idx="16">
                  <c:v>7.59301347644125</c:v>
                </c:pt>
                <c:pt idx="17">
                  <c:v>10.4219261681888</c:v>
                </c:pt>
                <c:pt idx="18">
                  <c:v>4.4276695561519</c:v>
                </c:pt>
                <c:pt idx="19">
                  <c:v>9.40198790981137</c:v>
                </c:pt>
                <c:pt idx="20">
                  <c:v>18.3429533568921</c:v>
                </c:pt>
                <c:pt idx="21">
                  <c:v>3.78848887067409</c:v>
                </c:pt>
                <c:pt idx="22">
                  <c:v>3.84852861302558</c:v>
                </c:pt>
                <c:pt idx="23">
                  <c:v>7.36053181802589</c:v>
                </c:pt>
                <c:pt idx="24">
                  <c:v>-3.46035133835073</c:v>
                </c:pt>
                <c:pt idx="25">
                  <c:v>4.95673857513049</c:v>
                </c:pt>
                <c:pt idx="26">
                  <c:v>12.9805561404563</c:v>
                </c:pt>
                <c:pt idx="27">
                  <c:v>8.57844583338412</c:v>
                </c:pt>
                <c:pt idx="28">
                  <c:v>4.47306423381787</c:v>
                </c:pt>
                <c:pt idx="29">
                  <c:v>-2.90035863157605</c:v>
                </c:pt>
                <c:pt idx="30">
                  <c:v>-6.36431772082448</c:v>
                </c:pt>
                <c:pt idx="31">
                  <c:v>-5.24119804071253</c:v>
                </c:pt>
                <c:pt idx="32">
                  <c:v>-13.0304231749527</c:v>
                </c:pt>
                <c:pt idx="33">
                  <c:v>-6.35887113874138</c:v>
                </c:pt>
                <c:pt idx="34">
                  <c:v>-6.95255713554177</c:v>
                </c:pt>
                <c:pt idx="35">
                  <c:v>-5.29880183302173</c:v>
                </c:pt>
                <c:pt idx="36">
                  <c:v>7.18857899037044</c:v>
                </c:pt>
                <c:pt idx="37">
                  <c:v>8.17465508170987</c:v>
                </c:pt>
                <c:pt idx="38">
                  <c:v>6.37876636644759</c:v>
                </c:pt>
                <c:pt idx="39">
                  <c:v>9.67774843293934</c:v>
                </c:pt>
                <c:pt idx="40">
                  <c:v>14.0140149381477</c:v>
                </c:pt>
              </c:numCache>
            </c:numRef>
          </c:val>
          <c:smooth val="0"/>
        </c:ser>
        <c:ser>
          <c:idx val="2"/>
          <c:order val="2"/>
          <c:tx>
            <c:strRef>
              <c:f>quarterly import growth, yoy (right)</c:f>
              <c:strCache>
                <c:ptCount val="1"/>
                <c:pt idx="0">
                  <c:v>quarterly import growth, yoy (right)</c:v>
                </c:pt>
              </c:strCache>
            </c:strRef>
          </c:tx>
          <c:spPr>
            <a:ln w="19050" cap="rnd" cmpd="sng" algn="ctr">
              <a:solidFill>
                <a:schemeClr val="accent3">
                  <a:shade val="95000"/>
                  <a:satMod val="105000"/>
                </a:schemeClr>
              </a:solidFill>
              <a:prstDash val="solid"/>
              <a:round/>
            </a:ln>
          </c:spPr>
          <c:marker>
            <c:symbol val="none"/>
          </c:marker>
          <c:dLbls>
            <c:delete val="1"/>
          </c:dLbls>
          <c:cat>
            <c:strRef>
              <c:f>进出口图!$A$35:$A$75</c:f>
              <c:strCache>
                <c:ptCount val="41"/>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pt idx="24">
                  <c:v>2014Q1</c:v>
                </c:pt>
                <c:pt idx="25">
                  <c:v>2014Q2</c:v>
                </c:pt>
                <c:pt idx="26">
                  <c:v>2014Q3</c:v>
                </c:pt>
                <c:pt idx="27">
                  <c:v>2014Q4</c:v>
                </c:pt>
                <c:pt idx="28">
                  <c:v>2015Q1</c:v>
                </c:pt>
                <c:pt idx="29">
                  <c:v>2015Q2</c:v>
                </c:pt>
                <c:pt idx="30">
                  <c:v>2015Q3</c:v>
                </c:pt>
                <c:pt idx="31">
                  <c:v>2015Q4</c:v>
                </c:pt>
                <c:pt idx="32">
                  <c:v>2016Q1</c:v>
                </c:pt>
                <c:pt idx="33">
                  <c:v>2016Q2</c:v>
                </c:pt>
                <c:pt idx="34">
                  <c:v>2016Q3</c:v>
                </c:pt>
                <c:pt idx="35">
                  <c:v>2016Q4</c:v>
                </c:pt>
                <c:pt idx="36">
                  <c:v>2017Q1</c:v>
                </c:pt>
                <c:pt idx="37">
                  <c:v>2017Q2</c:v>
                </c:pt>
                <c:pt idx="38">
                  <c:v>2017Q3</c:v>
                </c:pt>
                <c:pt idx="39">
                  <c:v>2017Q4</c:v>
                </c:pt>
                <c:pt idx="40">
                  <c:v>2018Q1</c:v>
                </c:pt>
              </c:strCache>
            </c:strRef>
          </c:cat>
          <c:val>
            <c:numRef>
              <c:f>进出口图!$H$35:$H$75</c:f>
              <c:numCache>
                <c:formatCode>0.0</c:formatCode>
                <c:ptCount val="41"/>
                <c:pt idx="0">
                  <c:v>28.926471302911</c:v>
                </c:pt>
                <c:pt idx="1">
                  <c:v>32.6591603203524</c:v>
                </c:pt>
                <c:pt idx="2">
                  <c:v>25.7409806309486</c:v>
                </c:pt>
                <c:pt idx="3">
                  <c:v>-9.11744277402238</c:v>
                </c:pt>
                <c:pt idx="4">
                  <c:v>-30.91310706693</c:v>
                </c:pt>
                <c:pt idx="5">
                  <c:v>-20.2430003194772</c:v>
                </c:pt>
                <c:pt idx="6">
                  <c:v>-11.6007563162587</c:v>
                </c:pt>
                <c:pt idx="7">
                  <c:v>22.7340875586237</c:v>
                </c:pt>
                <c:pt idx="8">
                  <c:v>64.8405189816787</c:v>
                </c:pt>
                <c:pt idx="9">
                  <c:v>43.6271210237901</c:v>
                </c:pt>
                <c:pt idx="10">
                  <c:v>27.2640992627175</c:v>
                </c:pt>
                <c:pt idx="11">
                  <c:v>29.8416403527874</c:v>
                </c:pt>
                <c:pt idx="12">
                  <c:v>32.9898749846914</c:v>
                </c:pt>
                <c:pt idx="13">
                  <c:v>23.1128847690956</c:v>
                </c:pt>
                <c:pt idx="14">
                  <c:v>24.8575658706441</c:v>
                </c:pt>
                <c:pt idx="15">
                  <c:v>20.0514165764736</c:v>
                </c:pt>
                <c:pt idx="16">
                  <c:v>6.93391870938518</c:v>
                </c:pt>
                <c:pt idx="17">
                  <c:v>6.40130408179473</c:v>
                </c:pt>
                <c:pt idx="18">
                  <c:v>1.38934941907318</c:v>
                </c:pt>
                <c:pt idx="19">
                  <c:v>2.90873449857347</c:v>
                </c:pt>
                <c:pt idx="20">
                  <c:v>8.60581197803809</c:v>
                </c:pt>
                <c:pt idx="21">
                  <c:v>4.81863180283757</c:v>
                </c:pt>
                <c:pt idx="22">
                  <c:v>8.52383239993937</c:v>
                </c:pt>
                <c:pt idx="23">
                  <c:v>7.06347962615712</c:v>
                </c:pt>
                <c:pt idx="24">
                  <c:v>1.50539192375001</c:v>
                </c:pt>
                <c:pt idx="25">
                  <c:v>1.35006725933913</c:v>
                </c:pt>
                <c:pt idx="26">
                  <c:v>1.02113633978142</c:v>
                </c:pt>
                <c:pt idx="27">
                  <c:v>-1.85118332897704</c:v>
                </c:pt>
                <c:pt idx="28">
                  <c:v>-17.4996914652045</c:v>
                </c:pt>
                <c:pt idx="29">
                  <c:v>-13.4941417221093</c:v>
                </c:pt>
                <c:pt idx="30">
                  <c:v>-14.4433149514997</c:v>
                </c:pt>
                <c:pt idx="31">
                  <c:v>-11.7805628848326</c:v>
                </c:pt>
                <c:pt idx="32">
                  <c:v>-13.9398754266026</c:v>
                </c:pt>
                <c:pt idx="33">
                  <c:v>-7.10161248334432</c:v>
                </c:pt>
                <c:pt idx="34">
                  <c:v>-4.39313602039077</c:v>
                </c:pt>
                <c:pt idx="35">
                  <c:v>2.65286779544944</c:v>
                </c:pt>
                <c:pt idx="36">
                  <c:v>24.2637363344679</c:v>
                </c:pt>
                <c:pt idx="37">
                  <c:v>14.1482971896685</c:v>
                </c:pt>
                <c:pt idx="38">
                  <c:v>14.5787047778632</c:v>
                </c:pt>
                <c:pt idx="39">
                  <c:v>12.4988464987966</c:v>
                </c:pt>
                <c:pt idx="40">
                  <c:v>18.8949207206065</c:v>
                </c:pt>
              </c:numCache>
            </c:numRef>
          </c:val>
          <c:smooth val="0"/>
        </c:ser>
        <c:dLbls>
          <c:showLegendKey val="0"/>
          <c:showVal val="0"/>
          <c:showCatName val="0"/>
          <c:showSerName val="0"/>
          <c:showPercent val="0"/>
          <c:showBubbleSize val="0"/>
        </c:dLbls>
        <c:marker val="0"/>
        <c:smooth val="0"/>
        <c:axId val="210659968"/>
        <c:axId val="210678144"/>
      </c:lineChart>
      <c:catAx>
        <c:axId val="210639872"/>
        <c:scaling>
          <c:orientation val="minMax"/>
        </c:scaling>
        <c:delete val="0"/>
        <c:axPos val="b"/>
        <c:numFmt formatCode="General" sourceLinked="1"/>
        <c:majorTickMark val="in"/>
        <c:minorTickMark val="none"/>
        <c:tickLblPos val="low"/>
        <c:txPr>
          <a:bodyPr rot="-54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p>
        </c:txPr>
        <c:crossAx val="210658048"/>
        <c:crossesAt val="0"/>
        <c:auto val="0"/>
        <c:lblAlgn val="ctr"/>
        <c:lblOffset val="0"/>
        <c:tickLblSkip val="2"/>
        <c:noMultiLvlLbl val="0"/>
      </c:catAx>
      <c:valAx>
        <c:axId val="210658048"/>
        <c:scaling>
          <c:orientation val="minMax"/>
        </c:scaling>
        <c:delete val="0"/>
        <c:axPos val="l"/>
        <c:title>
          <c:tx>
            <c:rich>
              <a:bodyPr rot="0" spcFirstLastPara="0" vertOverflow="ellipsis" vert="horz" wrap="square" anchor="ctr" anchorCtr="1"/>
              <a:lstStyle/>
              <a:p>
                <a:pPr>
                  <a:defRPr lang="en-US" sz="900" b="0" i="0" u="none" strike="noStrike" kern="1200" baseline="0">
                    <a:solidFill>
                      <a:schemeClr val="tx1"/>
                    </a:solidFill>
                    <a:latin typeface="+mn-lt"/>
                    <a:ea typeface="+mn-ea"/>
                    <a:cs typeface="+mn-cs"/>
                  </a:defRPr>
                </a:pPr>
                <a:r>
                  <a:rPr lang="en-US" altLang="zh-CN" sz="900" b="0">
                    <a:latin typeface="Times New Roman" panose="02020603050405020304" charset="0"/>
                    <a:cs typeface="Times New Roman" panose="02020603050405020304" charset="0"/>
                  </a:rPr>
                  <a:t>USD 100</a:t>
                </a:r>
                <a:r>
                  <a:rPr lang="en-US" altLang="zh-CN" sz="900" b="0" baseline="0">
                    <a:latin typeface="Times New Roman" panose="02020603050405020304" charset="0"/>
                    <a:cs typeface="Times New Roman" panose="02020603050405020304" charset="0"/>
                  </a:rPr>
                  <a:t> million</a:t>
                </a:r>
                <a:endParaRPr lang="zh-CN" altLang="en-US" sz="900" b="0">
                  <a:latin typeface="Times New Roman" panose="02020603050405020304" charset="0"/>
                  <a:cs typeface="Times New Roman" panose="02020603050405020304" charset="0"/>
                </a:endParaRPr>
              </a:p>
            </c:rich>
          </c:tx>
          <c:layout>
            <c:manualLayout>
              <c:xMode val="edge"/>
              <c:yMode val="edge"/>
              <c:x val="0.0840537944284342"/>
              <c:y val="0.00325880923870693"/>
            </c:manualLayout>
          </c:layout>
          <c:overlay val="0"/>
        </c:title>
        <c:numFmt formatCode="0" sourceLinked="0"/>
        <c:majorTickMark val="in"/>
        <c:minorTickMark val="none"/>
        <c:tickLblPos val="nextTo"/>
        <c:txPr>
          <a:bodyPr rot="0" spcFirstLastPara="0" vertOverflow="ellipsis" vert="horz" wrap="square" anchor="ctr" anchorCtr="1"/>
          <a:lstStyle/>
          <a:p>
            <a:pPr>
              <a:defRPr lang="en-US" sz="900" b="0" i="0" u="none" strike="noStrike" kern="1200" baseline="0">
                <a:solidFill>
                  <a:schemeClr val="tx1"/>
                </a:solidFill>
                <a:latin typeface="+mn-lt"/>
                <a:ea typeface="+mn-ea"/>
                <a:cs typeface="+mn-cs"/>
              </a:defRPr>
            </a:pPr>
          </a:p>
        </c:txPr>
        <c:crossAx val="210639872"/>
        <c:crosses val="autoZero"/>
        <c:crossBetween val="between"/>
      </c:valAx>
      <c:catAx>
        <c:axId val="21065996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0678144"/>
        <c:crosses val="autoZero"/>
        <c:auto val="0"/>
        <c:lblAlgn val="ctr"/>
        <c:lblOffset val="100"/>
        <c:noMultiLvlLbl val="0"/>
      </c:catAx>
      <c:valAx>
        <c:axId val="210678144"/>
        <c:scaling>
          <c:orientation val="minMax"/>
        </c:scaling>
        <c:delete val="0"/>
        <c:axPos val="r"/>
        <c:title>
          <c:tx>
            <c:rich>
              <a:bodyPr rot="0" spcFirstLastPara="0" vertOverflow="ellipsis" vert="horz" wrap="square" anchor="ctr" anchorCtr="1"/>
              <a:lstStyle/>
              <a:p>
                <a:pPr>
                  <a:defRPr lang="en-US" sz="900" b="0" i="0" u="none" strike="noStrike" kern="1200" baseline="0">
                    <a:solidFill>
                      <a:schemeClr val="tx1"/>
                    </a:solidFill>
                    <a:latin typeface="+mn-lt"/>
                    <a:ea typeface="+mn-ea"/>
                    <a:cs typeface="+mn-cs"/>
                  </a:defRPr>
                </a:pPr>
                <a:r>
                  <a:rPr lang="en-US" altLang="zh-CN" sz="900" b="0"/>
                  <a:t>%</a:t>
                </a:r>
                <a:endParaRPr lang="zh-CN" altLang="en-US" sz="900" b="0"/>
              </a:p>
            </c:rich>
          </c:tx>
          <c:layout>
            <c:manualLayout>
              <c:xMode val="edge"/>
              <c:yMode val="edge"/>
              <c:x val="0.898655139289147"/>
              <c:y val="0.00325880923870694"/>
            </c:manualLayout>
          </c:layout>
          <c:overlay val="0"/>
        </c:title>
        <c:numFmt formatCode="0_ " sourceLinked="0"/>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p>
        </c:txPr>
        <c:crossAx val="210659968"/>
        <c:crosses val="max"/>
        <c:crossBetween val="between"/>
      </c:valAx>
      <c:spPr>
        <a:noFill/>
      </c:spPr>
    </c:plotArea>
    <c:legend>
      <c:legendPos val="r"/>
      <c:layout>
        <c:manualLayout>
          <c:xMode val="edge"/>
          <c:yMode val="edge"/>
          <c:x val="0.222610376152549"/>
          <c:y val="0.0531320681688983"/>
          <c:w val="0.469900232211608"/>
          <c:h val="0.178007575002492"/>
        </c:manualLayout>
      </c:layout>
      <c:overlay val="0"/>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0.07381</cdr:x>
      <cdr:y>0.03774</cdr:y>
    </cdr:from>
    <cdr:to>
      <cdr:x>0.33719</cdr:x>
      <cdr:y>0.12264</cdr:y>
    </cdr:to>
    <cdr:sp>
      <cdr:nvSpPr>
        <cdr:cNvPr id="2" name="矩形 1"/>
        <cdr:cNvSpPr/>
      </cdr:nvSpPr>
      <cdr:spPr xmlns:a="http://schemas.openxmlformats.org/drawingml/2006/main">
        <a:xfrm xmlns:a="http://schemas.openxmlformats.org/drawingml/2006/main">
          <a:off x="485775" y="114300"/>
          <a:ext cx="1733550" cy="25717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en-US" altLang="zh-CN" sz="800"/>
            <a:t>yield</a:t>
          </a:r>
          <a:r>
            <a:rPr lang="zh-CN" altLang="en-US" sz="800"/>
            <a:t>（</a:t>
          </a:r>
          <a:r>
            <a:rPr lang="en-US" altLang="zh-CN" sz="800"/>
            <a:t>%</a:t>
          </a:r>
          <a:r>
            <a:rPr lang="zh-CN" altLang="en-US" sz="800"/>
            <a:t>）</a:t>
          </a:r>
          <a:endParaRPr lang="zh-CN" altLang="en-US" sz="800"/>
        </a:p>
      </cdr:txBody>
    </cdr:sp>
  </cdr:relSizeAnchor>
  <cdr:relSizeAnchor xmlns:cdr="http://schemas.openxmlformats.org/drawingml/2006/chartDrawing">
    <cdr:from>
      <cdr:x>0.86107</cdr:x>
      <cdr:y>0.71384</cdr:y>
    </cdr:from>
    <cdr:to>
      <cdr:x>1</cdr:x>
      <cdr:y>0.82704</cdr:y>
    </cdr:to>
    <cdr:sp>
      <cdr:nvSpPr>
        <cdr:cNvPr id="3" name="矩形 2"/>
        <cdr:cNvSpPr/>
      </cdr:nvSpPr>
      <cdr:spPr xmlns:a="http://schemas.openxmlformats.org/drawingml/2006/main">
        <a:xfrm xmlns:a="http://schemas.openxmlformats.org/drawingml/2006/main">
          <a:off x="5667375" y="2162175"/>
          <a:ext cx="914400" cy="342900"/>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en-US" altLang="zh-CN" sz="800"/>
            <a:t>maturity (year)</a:t>
          </a:r>
          <a:endParaRPr lang="zh-CN" altLang="en-US" sz="8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128DA-3461-46D7-B787-826045DC655F}">
  <ds:schemaRefs/>
</ds:datastoreItem>
</file>

<file path=docProps/app.xml><?xml version="1.0" encoding="utf-8"?>
<Properties xmlns="http://schemas.openxmlformats.org/officeDocument/2006/extended-properties" xmlns:vt="http://schemas.openxmlformats.org/officeDocument/2006/docPropsVTypes">
  <Template>Normal.dotm</Template>
  <Company>PBC</Company>
  <Pages>60</Pages>
  <Words>47063</Words>
  <Characters>268262</Characters>
  <Lines>2235</Lines>
  <Paragraphs>629</Paragraphs>
  <TotalTime>28</TotalTime>
  <ScaleCrop>false</ScaleCrop>
  <LinksUpToDate>false</LinksUpToDate>
  <CharactersWithSpaces>314696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2018-06-19T08:32:00Z</dcterms:created>
  <dc:creator>PBC</dc:creator>
  <cp:lastModifiedBy>宋芃霄</cp:lastModifiedBy>
  <dcterms:modified xsi:type="dcterms:W3CDTF">2018-06-25T03:15:34Z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